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4AF9868" w:rsidR="00E57218" w:rsidRPr="000458B3" w:rsidRDefault="00166A5C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9 AL 27 JUNIO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543"/>
        <w:gridCol w:w="2548"/>
        <w:gridCol w:w="1723"/>
        <w:gridCol w:w="2962"/>
        <w:gridCol w:w="4614"/>
      </w:tblGrid>
      <w:tr w:rsidR="00AD1658" w:rsidRPr="00AD1658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AD1658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166A5C">
        <w:tc>
          <w:tcPr>
            <w:tcW w:w="2543" w:type="dxa"/>
            <w:shd w:val="clear" w:color="auto" w:fill="FFE7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548" w:type="dxa"/>
            <w:shd w:val="clear" w:color="auto" w:fill="FFE7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E7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62" w:type="dxa"/>
            <w:shd w:val="clear" w:color="auto" w:fill="FFE7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614" w:type="dxa"/>
            <w:shd w:val="clear" w:color="auto" w:fill="FFE7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166A5C" w:rsidRPr="00AD1658" w14:paraId="3E0896F7" w14:textId="77777777" w:rsidTr="00166A5C">
        <w:tc>
          <w:tcPr>
            <w:tcW w:w="2543" w:type="dxa"/>
            <w:vAlign w:val="center"/>
          </w:tcPr>
          <w:p w14:paraId="2615CD50" w14:textId="6949BD4C" w:rsidR="00166A5C" w:rsidRPr="00AD1658" w:rsidRDefault="00166A5C" w:rsidP="00166A5C">
            <w:pPr>
              <w:jc w:val="center"/>
              <w:rPr>
                <w:rFonts w:ascii="Century Gothic" w:hAnsi="Century Gothic"/>
              </w:rPr>
            </w:pPr>
            <w:r w:rsidRPr="00166A5C">
              <w:rPr>
                <w:rFonts w:ascii="Century Gothic" w:hAnsi="Century Gothic"/>
              </w:rPr>
              <w:t>Lenguajes</w:t>
            </w:r>
          </w:p>
        </w:tc>
        <w:tc>
          <w:tcPr>
            <w:tcW w:w="2548" w:type="dxa"/>
            <w:vAlign w:val="center"/>
          </w:tcPr>
          <w:p w14:paraId="2D724138" w14:textId="3CB52FB2" w:rsidR="00166A5C" w:rsidRPr="00AD1658" w:rsidRDefault="00166A5C" w:rsidP="00166A5C">
            <w:pPr>
              <w:jc w:val="center"/>
              <w:rPr>
                <w:rFonts w:ascii="Century Gothic" w:hAnsi="Century Gothic"/>
              </w:rPr>
            </w:pPr>
            <w:r w:rsidRPr="00166A5C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166A5C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166A5C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166A5C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5408745B" w14:textId="77777777" w:rsidR="00166A5C" w:rsidRPr="00D93DA8" w:rsidRDefault="00166A5C" w:rsidP="00166A5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93DA8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63649F2C" w:rsidR="00166A5C" w:rsidRPr="00AD1658" w:rsidRDefault="00166A5C" w:rsidP="00166A5C">
            <w:pPr>
              <w:jc w:val="center"/>
              <w:rPr>
                <w:rFonts w:ascii="Century Gothic" w:hAnsi="Century Gothic"/>
              </w:rPr>
            </w:pPr>
            <w:r w:rsidRPr="00D93DA8">
              <w:rPr>
                <w:rFonts w:ascii="Century Gothic" w:hAnsi="Century Gothic" w:cs="Tahoma"/>
                <w:sz w:val="24"/>
                <w:szCs w:val="24"/>
              </w:rPr>
              <w:t>Páginas 64 a la 77</w:t>
            </w:r>
          </w:p>
        </w:tc>
        <w:tc>
          <w:tcPr>
            <w:tcW w:w="2962" w:type="dxa"/>
            <w:vAlign w:val="center"/>
          </w:tcPr>
          <w:p w14:paraId="1C02C1AD" w14:textId="52D9C561" w:rsidR="00166A5C" w:rsidRPr="00AD1658" w:rsidRDefault="00166A5C" w:rsidP="00166A5C">
            <w:pPr>
              <w:jc w:val="center"/>
              <w:rPr>
                <w:rFonts w:ascii="Century Gothic" w:hAnsi="Century Gothic"/>
              </w:rPr>
            </w:pPr>
            <w:r w:rsidRPr="00D93DA8">
              <w:rPr>
                <w:rFonts w:ascii="Century Gothic" w:hAnsi="Century Gothic" w:cs="Tahoma"/>
                <w:sz w:val="24"/>
                <w:szCs w:val="24"/>
              </w:rPr>
              <w:t>Investigamos y creamos mitos y leyendas sobre fenómenos naturales.</w:t>
            </w:r>
          </w:p>
        </w:tc>
        <w:tc>
          <w:tcPr>
            <w:tcW w:w="4614" w:type="dxa"/>
            <w:vAlign w:val="center"/>
          </w:tcPr>
          <w:p w14:paraId="30CCDB5F" w14:textId="4BE72BF9" w:rsidR="00166A5C" w:rsidRPr="00AD1658" w:rsidRDefault="00166A5C" w:rsidP="00166A5C">
            <w:pPr>
              <w:jc w:val="both"/>
              <w:rPr>
                <w:rFonts w:ascii="Century Gothic" w:hAnsi="Century Gothic"/>
              </w:rPr>
            </w:pPr>
            <w:r w:rsidRPr="00D93DA8">
              <w:rPr>
                <w:rFonts w:ascii="Century Gothic" w:hAnsi="Century Gothic" w:cs="Tahoma"/>
                <w:sz w:val="24"/>
                <w:szCs w:val="24"/>
              </w:rPr>
              <w:t>Consultar diferentes fuentes de información para aprender sobre los fenómenos naturales. A partir de la información reunida, elaborar una leyenda o un mito que incluirán en una antología colectiva para agregarla a la Biblioteca de Aula.</w:t>
            </w:r>
          </w:p>
        </w:tc>
      </w:tr>
      <w:tr w:rsidR="00166A5C" w:rsidRPr="00AD1658" w14:paraId="11363062" w14:textId="77777777" w:rsidTr="00166A5C">
        <w:tc>
          <w:tcPr>
            <w:tcW w:w="2543" w:type="dxa"/>
            <w:vAlign w:val="center"/>
          </w:tcPr>
          <w:p w14:paraId="6A945832" w14:textId="253060F2" w:rsidR="00166A5C" w:rsidRPr="00AD1658" w:rsidRDefault="00166A5C" w:rsidP="00166A5C">
            <w:pPr>
              <w:jc w:val="center"/>
              <w:rPr>
                <w:rFonts w:ascii="Century Gothic" w:hAnsi="Century Gothic"/>
              </w:rPr>
            </w:pPr>
            <w:r w:rsidRPr="00166A5C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2548" w:type="dxa"/>
            <w:vAlign w:val="center"/>
          </w:tcPr>
          <w:p w14:paraId="58086788" w14:textId="23D8AAFF" w:rsidR="00166A5C" w:rsidRPr="00AD1658" w:rsidRDefault="00166A5C" w:rsidP="00166A5C">
            <w:pPr>
              <w:jc w:val="center"/>
              <w:rPr>
                <w:rFonts w:ascii="Century Gothic" w:hAnsi="Century Gothic"/>
              </w:rPr>
            </w:pPr>
            <w:r w:rsidRPr="00166A5C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166A5C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7E8EDB6D" w14:textId="77777777" w:rsidR="00166A5C" w:rsidRPr="00D93DA8" w:rsidRDefault="00166A5C" w:rsidP="00166A5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93DA8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4984DAFC" w:rsidR="00166A5C" w:rsidRPr="00AD1658" w:rsidRDefault="00166A5C" w:rsidP="00166A5C">
            <w:pPr>
              <w:jc w:val="center"/>
              <w:rPr>
                <w:rFonts w:ascii="Century Gothic" w:hAnsi="Century Gothic"/>
              </w:rPr>
            </w:pPr>
            <w:r w:rsidRPr="00D93DA8">
              <w:rPr>
                <w:rFonts w:ascii="Century Gothic" w:hAnsi="Century Gothic" w:cs="Tahoma"/>
                <w:sz w:val="24"/>
                <w:szCs w:val="24"/>
              </w:rPr>
              <w:t>Páginas 126 a la 137</w:t>
            </w:r>
          </w:p>
        </w:tc>
        <w:tc>
          <w:tcPr>
            <w:tcW w:w="2962" w:type="dxa"/>
            <w:vAlign w:val="center"/>
          </w:tcPr>
          <w:p w14:paraId="0F88FC55" w14:textId="5BC0FDBC" w:rsidR="00166A5C" w:rsidRPr="00AD1658" w:rsidRDefault="00166A5C" w:rsidP="00166A5C">
            <w:pPr>
              <w:jc w:val="center"/>
              <w:rPr>
                <w:rFonts w:ascii="Century Gothic" w:hAnsi="Century Gothic"/>
              </w:rPr>
            </w:pPr>
            <w:r w:rsidRPr="00D93DA8">
              <w:rPr>
                <w:rFonts w:ascii="Century Gothic" w:hAnsi="Century Gothic" w:cs="Tahoma"/>
                <w:kern w:val="0"/>
                <w:sz w:val="24"/>
                <w:szCs w:val="24"/>
              </w:rPr>
              <w:t>Luces y sombras.</w:t>
            </w:r>
          </w:p>
        </w:tc>
        <w:tc>
          <w:tcPr>
            <w:tcW w:w="4614" w:type="dxa"/>
            <w:vAlign w:val="center"/>
          </w:tcPr>
          <w:p w14:paraId="1544F34B" w14:textId="74025B27" w:rsidR="00166A5C" w:rsidRPr="00AD1658" w:rsidRDefault="00166A5C" w:rsidP="00166A5C">
            <w:pPr>
              <w:jc w:val="both"/>
              <w:rPr>
                <w:rFonts w:ascii="Century Gothic" w:hAnsi="Century Gothic"/>
              </w:rPr>
            </w:pPr>
            <w:r w:rsidRPr="00D93DA8">
              <w:rPr>
                <w:rFonts w:ascii="Century Gothic" w:hAnsi="Century Gothic" w:cs="Tahoma"/>
                <w:kern w:val="0"/>
                <w:sz w:val="24"/>
                <w:szCs w:val="24"/>
              </w:rPr>
              <w:t>Estudiar las ventajas de las Lámparas de sol frente a otros objetos para iluminar, durante el día, hogares que no cuentan con energía eléctrica.</w:t>
            </w:r>
          </w:p>
        </w:tc>
      </w:tr>
      <w:tr w:rsidR="00166A5C" w:rsidRPr="00AD1658" w14:paraId="28903A2D" w14:textId="77777777" w:rsidTr="00166A5C">
        <w:tc>
          <w:tcPr>
            <w:tcW w:w="2543" w:type="dxa"/>
            <w:vAlign w:val="center"/>
          </w:tcPr>
          <w:p w14:paraId="66EAD28D" w14:textId="6AE1E5F4" w:rsidR="00166A5C" w:rsidRPr="00AD1658" w:rsidRDefault="00166A5C" w:rsidP="00166A5C">
            <w:pPr>
              <w:jc w:val="center"/>
              <w:rPr>
                <w:rFonts w:ascii="Century Gothic" w:hAnsi="Century Gothic"/>
              </w:rPr>
            </w:pPr>
            <w:r w:rsidRPr="00166A5C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548" w:type="dxa"/>
            <w:vAlign w:val="center"/>
          </w:tcPr>
          <w:p w14:paraId="599C58D7" w14:textId="04F7BD2F" w:rsidR="00166A5C" w:rsidRPr="00AD1658" w:rsidRDefault="00166A5C" w:rsidP="00166A5C">
            <w:pPr>
              <w:jc w:val="center"/>
              <w:rPr>
                <w:rFonts w:ascii="Century Gothic" w:hAnsi="Century Gothic"/>
              </w:rPr>
            </w:pPr>
            <w:r w:rsidRPr="00166A5C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166A5C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166A5C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196FD10B" w14:textId="77777777" w:rsidR="00166A5C" w:rsidRPr="00D93DA8" w:rsidRDefault="00166A5C" w:rsidP="00166A5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93DA8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71B35FCB" w:rsidR="00166A5C" w:rsidRPr="00AD1658" w:rsidRDefault="00166A5C" w:rsidP="00166A5C">
            <w:pPr>
              <w:jc w:val="center"/>
              <w:rPr>
                <w:rFonts w:ascii="Century Gothic" w:hAnsi="Century Gothic"/>
              </w:rPr>
            </w:pPr>
            <w:r w:rsidRPr="00D93DA8">
              <w:rPr>
                <w:rFonts w:ascii="Century Gothic" w:hAnsi="Century Gothic" w:cs="Tahoma"/>
                <w:sz w:val="24"/>
                <w:szCs w:val="24"/>
              </w:rPr>
              <w:t>Páginas 176 a la 183</w:t>
            </w:r>
          </w:p>
        </w:tc>
        <w:tc>
          <w:tcPr>
            <w:tcW w:w="2962" w:type="dxa"/>
            <w:vAlign w:val="center"/>
          </w:tcPr>
          <w:p w14:paraId="2010C993" w14:textId="5B636A73" w:rsidR="00166A5C" w:rsidRPr="00AD1658" w:rsidRDefault="00166A5C" w:rsidP="00166A5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Tahoma"/>
                <w:kern w:val="0"/>
                <w:sz w:val="24"/>
                <w:szCs w:val="24"/>
              </w:rPr>
              <w:t>C</w:t>
            </w:r>
            <w:r w:rsidRPr="00D93DA8">
              <w:rPr>
                <w:rFonts w:ascii="Century Gothic" w:hAnsi="Century Gothic" w:cs="Tahoma"/>
                <w:kern w:val="0"/>
                <w:sz w:val="24"/>
                <w:szCs w:val="24"/>
              </w:rPr>
              <w:t>uidado de las mascotas.</w:t>
            </w:r>
          </w:p>
        </w:tc>
        <w:tc>
          <w:tcPr>
            <w:tcW w:w="4614" w:type="dxa"/>
            <w:vAlign w:val="center"/>
          </w:tcPr>
          <w:p w14:paraId="3F11CA71" w14:textId="00DD05ED" w:rsidR="00166A5C" w:rsidRPr="00AD1658" w:rsidRDefault="00166A5C" w:rsidP="00166A5C">
            <w:pPr>
              <w:jc w:val="both"/>
              <w:rPr>
                <w:rFonts w:ascii="Century Gothic" w:hAnsi="Century Gothic"/>
              </w:rPr>
            </w:pPr>
            <w:r w:rsidRPr="00D93DA8">
              <w:rPr>
                <w:rFonts w:ascii="Century Gothic" w:hAnsi="Century Gothic" w:cs="Tahoma"/>
                <w:sz w:val="24"/>
                <w:szCs w:val="24"/>
              </w:rPr>
              <w:t>Elaborar un tríptico informativo con la finalidad de comunicar a la comunidad escolar sobre los cuidados y las responsabilidades de tener una mascota, de manera que, antes de acoger una, la comunidad esté informada de lo que implica.</w:t>
            </w:r>
          </w:p>
        </w:tc>
      </w:tr>
      <w:tr w:rsidR="00166A5C" w:rsidRPr="00AD1658" w14:paraId="51C077E4" w14:textId="77777777" w:rsidTr="00166A5C">
        <w:tc>
          <w:tcPr>
            <w:tcW w:w="2543" w:type="dxa"/>
            <w:vAlign w:val="center"/>
          </w:tcPr>
          <w:p w14:paraId="4014A41E" w14:textId="75A487B7" w:rsidR="00166A5C" w:rsidRPr="00AD1658" w:rsidRDefault="00166A5C" w:rsidP="00166A5C">
            <w:pPr>
              <w:jc w:val="center"/>
              <w:rPr>
                <w:rFonts w:ascii="Century Gothic" w:hAnsi="Century Gothic"/>
              </w:rPr>
            </w:pPr>
            <w:r w:rsidRPr="00166A5C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548" w:type="dxa"/>
            <w:vAlign w:val="center"/>
          </w:tcPr>
          <w:p w14:paraId="72E8EF95" w14:textId="0550ADAE" w:rsidR="00166A5C" w:rsidRPr="00AD1658" w:rsidRDefault="00166A5C" w:rsidP="00166A5C">
            <w:pPr>
              <w:jc w:val="center"/>
              <w:rPr>
                <w:rFonts w:ascii="Century Gothic" w:hAnsi="Century Gothic"/>
              </w:rPr>
            </w:pPr>
            <w:r w:rsidRPr="00166A5C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166A5C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166A5C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3A390880" w14:textId="77777777" w:rsidR="00166A5C" w:rsidRPr="00D93DA8" w:rsidRDefault="00166A5C" w:rsidP="00166A5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93DA8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6D3C1B6A" w14:textId="3907E135" w:rsidR="00166A5C" w:rsidRPr="00AD1658" w:rsidRDefault="00166A5C" w:rsidP="00166A5C">
            <w:pPr>
              <w:jc w:val="center"/>
              <w:rPr>
                <w:rFonts w:ascii="Century Gothic" w:hAnsi="Century Gothic"/>
              </w:rPr>
            </w:pPr>
            <w:r w:rsidRPr="00D93DA8">
              <w:rPr>
                <w:rFonts w:ascii="Century Gothic" w:hAnsi="Century Gothic" w:cs="Tahoma"/>
                <w:sz w:val="24"/>
                <w:szCs w:val="24"/>
              </w:rPr>
              <w:t>Páginas 232 a la 245</w:t>
            </w:r>
          </w:p>
        </w:tc>
        <w:tc>
          <w:tcPr>
            <w:tcW w:w="2962" w:type="dxa"/>
            <w:vAlign w:val="center"/>
          </w:tcPr>
          <w:p w14:paraId="35F4AE1D" w14:textId="3C050EA4" w:rsidR="00166A5C" w:rsidRPr="00AD1658" w:rsidRDefault="00166A5C" w:rsidP="00166A5C">
            <w:pPr>
              <w:jc w:val="center"/>
              <w:rPr>
                <w:rFonts w:ascii="Century Gothic" w:hAnsi="Century Gothic"/>
              </w:rPr>
            </w:pPr>
            <w:r w:rsidRPr="00D93DA8">
              <w:rPr>
                <w:rFonts w:ascii="Century Gothic" w:hAnsi="Century Gothic" w:cs="Tahoma"/>
                <w:kern w:val="0"/>
                <w:sz w:val="24"/>
                <w:szCs w:val="24"/>
              </w:rPr>
              <w:t>Cazadores de emociones.</w:t>
            </w:r>
          </w:p>
        </w:tc>
        <w:tc>
          <w:tcPr>
            <w:tcW w:w="4614" w:type="dxa"/>
            <w:vAlign w:val="center"/>
          </w:tcPr>
          <w:p w14:paraId="06C86B13" w14:textId="7B91BA7A" w:rsidR="00166A5C" w:rsidRPr="00AD1658" w:rsidRDefault="00166A5C" w:rsidP="00166A5C">
            <w:pPr>
              <w:jc w:val="both"/>
              <w:rPr>
                <w:rFonts w:ascii="Century Gothic" w:hAnsi="Century Gothic"/>
              </w:rPr>
            </w:pPr>
            <w:r w:rsidRPr="00D93DA8">
              <w:rPr>
                <w:rFonts w:ascii="Century Gothic" w:hAnsi="Century Gothic" w:cs="Tahoma"/>
                <w:sz w:val="24"/>
                <w:szCs w:val="24"/>
              </w:rPr>
              <w:t>Organizar junto con su comunidad la exposición de arte “Cazadores de emociones”. En ella, identificarán formas de expresar y representar las emociones al convivir con su comunidad.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7012B" w14:textId="77777777" w:rsidR="00A6531C" w:rsidRDefault="00A6531C" w:rsidP="000458B3">
      <w:pPr>
        <w:spacing w:after="0" w:line="240" w:lineRule="auto"/>
      </w:pPr>
      <w:r>
        <w:separator/>
      </w:r>
    </w:p>
  </w:endnote>
  <w:endnote w:type="continuationSeparator" w:id="0">
    <w:p w14:paraId="74B9FEB5" w14:textId="77777777" w:rsidR="00A6531C" w:rsidRDefault="00A6531C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851DC" w14:textId="77777777" w:rsidR="00A6531C" w:rsidRDefault="00A6531C" w:rsidP="000458B3">
      <w:pPr>
        <w:spacing w:after="0" w:line="240" w:lineRule="auto"/>
      </w:pPr>
      <w:r>
        <w:separator/>
      </w:r>
    </w:p>
  </w:footnote>
  <w:footnote w:type="continuationSeparator" w:id="0">
    <w:p w14:paraId="2AE0C124" w14:textId="77777777" w:rsidR="00A6531C" w:rsidRDefault="00A6531C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166A5C"/>
    <w:rsid w:val="002C5BA5"/>
    <w:rsid w:val="002F59BC"/>
    <w:rsid w:val="004104AA"/>
    <w:rsid w:val="009A5BC5"/>
    <w:rsid w:val="009C7DC1"/>
    <w:rsid w:val="00A6531C"/>
    <w:rsid w:val="00AD1658"/>
    <w:rsid w:val="00B474F4"/>
    <w:rsid w:val="00B51E4C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1327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2025-06-05T23:13:00Z</dcterms:modified>
  <cp:category>www.DidacticosMX.com</cp:category>
</cp:coreProperties>
</file>