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660FC199" w:rsidR="00AD1658" w:rsidRDefault="000811FC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5to Grado</w:t>
      </w:r>
    </w:p>
    <w:p w14:paraId="17C42AB9" w14:textId="02787929" w:rsidR="00810595" w:rsidRPr="000811FC" w:rsidRDefault="008C7F0A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26 MAYO AL 6 JUNIO</w:t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2689"/>
        <w:gridCol w:w="2835"/>
        <w:gridCol w:w="1842"/>
        <w:gridCol w:w="2835"/>
        <w:gridCol w:w="4189"/>
      </w:tblGrid>
      <w:tr w:rsidR="00AD1658" w:rsidRPr="00AD1658" w14:paraId="51312299" w14:textId="77777777" w:rsidTr="00CD5FC1">
        <w:tc>
          <w:tcPr>
            <w:tcW w:w="14390" w:type="dxa"/>
            <w:gridSpan w:val="5"/>
            <w:shd w:val="clear" w:color="auto" w:fill="FFDFAF"/>
            <w:vAlign w:val="center"/>
          </w:tcPr>
          <w:p w14:paraId="7345A0A7" w14:textId="2FE12B30" w:rsidR="00AD1658" w:rsidRPr="00AD1658" w:rsidRDefault="00810595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8C7F0A">
        <w:tc>
          <w:tcPr>
            <w:tcW w:w="2689" w:type="dxa"/>
            <w:shd w:val="clear" w:color="auto" w:fill="FFEED5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835" w:type="dxa"/>
            <w:shd w:val="clear" w:color="auto" w:fill="FFEED5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842" w:type="dxa"/>
            <w:shd w:val="clear" w:color="auto" w:fill="FFEED5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835" w:type="dxa"/>
            <w:shd w:val="clear" w:color="auto" w:fill="FFEED5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4189" w:type="dxa"/>
            <w:shd w:val="clear" w:color="auto" w:fill="FFEED5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8C7F0A" w:rsidRPr="00AD1658" w14:paraId="3E0896F7" w14:textId="77777777" w:rsidTr="008C7F0A">
        <w:tc>
          <w:tcPr>
            <w:tcW w:w="2689" w:type="dxa"/>
            <w:vAlign w:val="center"/>
          </w:tcPr>
          <w:p w14:paraId="2615CD50" w14:textId="6AC9906D" w:rsidR="008C7F0A" w:rsidRPr="00AD1658" w:rsidRDefault="008C7F0A" w:rsidP="008C7F0A">
            <w:pPr>
              <w:jc w:val="center"/>
              <w:rPr>
                <w:rFonts w:ascii="Century Gothic" w:hAnsi="Century Gothic"/>
              </w:rPr>
            </w:pPr>
            <w:r w:rsidRPr="008C7F0A">
              <w:rPr>
                <w:rFonts w:ascii="Century Gothic" w:hAnsi="Century Gothic"/>
              </w:rPr>
              <w:t>Lenguajes</w:t>
            </w:r>
          </w:p>
        </w:tc>
        <w:tc>
          <w:tcPr>
            <w:tcW w:w="2835" w:type="dxa"/>
            <w:vAlign w:val="center"/>
          </w:tcPr>
          <w:p w14:paraId="2D724138" w14:textId="1216D63D" w:rsidR="008C7F0A" w:rsidRPr="00AD1658" w:rsidRDefault="008C7F0A" w:rsidP="008C7F0A">
            <w:pPr>
              <w:jc w:val="center"/>
              <w:rPr>
                <w:rFonts w:ascii="Century Gothic" w:hAnsi="Century Gothic"/>
              </w:rPr>
            </w:pPr>
            <w:r w:rsidRPr="008C7F0A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8C7F0A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842" w:type="dxa"/>
            <w:vAlign w:val="center"/>
          </w:tcPr>
          <w:p w14:paraId="4BF500F0" w14:textId="77777777" w:rsidR="008C7F0A" w:rsidRPr="0028743B" w:rsidRDefault="008C7F0A" w:rsidP="008C7F0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8743B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1131CCAF" w:rsidR="008C7F0A" w:rsidRPr="00AD1658" w:rsidRDefault="008C7F0A" w:rsidP="008C7F0A">
            <w:pPr>
              <w:jc w:val="center"/>
              <w:rPr>
                <w:rFonts w:ascii="Century Gothic" w:hAnsi="Century Gothic"/>
              </w:rPr>
            </w:pPr>
            <w:r w:rsidRPr="0028743B">
              <w:rPr>
                <w:rFonts w:ascii="Century Gothic" w:hAnsi="Century Gothic" w:cs="Tahoma"/>
                <w:sz w:val="24"/>
                <w:szCs w:val="24"/>
              </w:rPr>
              <w:t>Páginas 70 a la 83</w:t>
            </w:r>
          </w:p>
        </w:tc>
        <w:tc>
          <w:tcPr>
            <w:tcW w:w="2835" w:type="dxa"/>
            <w:vAlign w:val="center"/>
          </w:tcPr>
          <w:p w14:paraId="1C02C1AD" w14:textId="3ACAFEE8" w:rsidR="008C7F0A" w:rsidRPr="00AD1658" w:rsidRDefault="008C7F0A" w:rsidP="008C7F0A">
            <w:pPr>
              <w:jc w:val="center"/>
              <w:rPr>
                <w:rFonts w:ascii="Century Gothic" w:hAnsi="Century Gothic"/>
              </w:rPr>
            </w:pPr>
            <w:r w:rsidRPr="0028743B">
              <w:rPr>
                <w:rFonts w:ascii="Century Gothic" w:hAnsi="Century Gothic" w:cs="Tahoma"/>
                <w:kern w:val="0"/>
                <w:sz w:val="24"/>
                <w:szCs w:val="24"/>
              </w:rPr>
              <w:t>Sonidos e imágenes de nuestro entorno.</w:t>
            </w:r>
          </w:p>
        </w:tc>
        <w:tc>
          <w:tcPr>
            <w:tcW w:w="4189" w:type="dxa"/>
            <w:vAlign w:val="center"/>
          </w:tcPr>
          <w:p w14:paraId="30CCDB5F" w14:textId="3888D8B6" w:rsidR="008C7F0A" w:rsidRPr="00AD1658" w:rsidRDefault="008C7F0A" w:rsidP="008C7F0A">
            <w:pPr>
              <w:jc w:val="both"/>
              <w:rPr>
                <w:rFonts w:ascii="Century Gothic" w:hAnsi="Century Gothic"/>
              </w:rPr>
            </w:pPr>
            <w:r w:rsidRPr="0028743B">
              <w:rPr>
                <w:rFonts w:ascii="Century Gothic" w:hAnsi="Century Gothic" w:cs="Tahoma"/>
                <w:kern w:val="0"/>
                <w:sz w:val="24"/>
                <w:szCs w:val="24"/>
              </w:rPr>
              <w:t>Identificar imágenes y sonidos ambientales de su entorno escolar. Reconocer si hay contaminación visual y auditiva. Establecer propuestas de secuencias animadas o historietas para que este tipo de contaminación se reduzca o se evite en la escuela y sus inmediaciones.</w:t>
            </w:r>
          </w:p>
        </w:tc>
      </w:tr>
      <w:tr w:rsidR="008C7F0A" w:rsidRPr="00AD1658" w14:paraId="11363062" w14:textId="77777777" w:rsidTr="008C7F0A">
        <w:tc>
          <w:tcPr>
            <w:tcW w:w="2689" w:type="dxa"/>
            <w:vAlign w:val="center"/>
          </w:tcPr>
          <w:p w14:paraId="6A945832" w14:textId="4F7EAE46" w:rsidR="008C7F0A" w:rsidRPr="00AD1658" w:rsidRDefault="008C7F0A" w:rsidP="008C7F0A">
            <w:pPr>
              <w:jc w:val="center"/>
              <w:rPr>
                <w:rFonts w:ascii="Century Gothic" w:hAnsi="Century Gothic"/>
              </w:rPr>
            </w:pPr>
            <w:r w:rsidRPr="008C7F0A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2835" w:type="dxa"/>
            <w:vAlign w:val="center"/>
          </w:tcPr>
          <w:p w14:paraId="58086788" w14:textId="3556C60A" w:rsidR="008C7F0A" w:rsidRPr="00AD1658" w:rsidRDefault="008C7F0A" w:rsidP="008C7F0A">
            <w:pPr>
              <w:jc w:val="center"/>
              <w:rPr>
                <w:rFonts w:ascii="Century Gothic" w:hAnsi="Century Gothic"/>
              </w:rPr>
            </w:pPr>
            <w:r w:rsidRPr="008C7F0A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8C7F0A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8C7F0A">
              <w:rPr>
                <w:rFonts w:ascii="Century Gothic" w:hAnsi="Century Gothic"/>
              </w:rPr>
              <w:t>Vida saludable</w:t>
            </w:r>
          </w:p>
        </w:tc>
        <w:tc>
          <w:tcPr>
            <w:tcW w:w="1842" w:type="dxa"/>
            <w:vAlign w:val="center"/>
          </w:tcPr>
          <w:p w14:paraId="07AF1CAD" w14:textId="77777777" w:rsidR="008C7F0A" w:rsidRPr="00A4546F" w:rsidRDefault="008C7F0A" w:rsidP="008C7F0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A4546F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63EBDC22" w:rsidR="008C7F0A" w:rsidRPr="00AD1658" w:rsidRDefault="008C7F0A" w:rsidP="008C7F0A">
            <w:pPr>
              <w:jc w:val="center"/>
              <w:rPr>
                <w:rFonts w:ascii="Century Gothic" w:hAnsi="Century Gothic"/>
              </w:rPr>
            </w:pPr>
            <w:r w:rsidRPr="00A4546F">
              <w:rPr>
                <w:rFonts w:ascii="Century Gothic" w:hAnsi="Century Gothic" w:cs="Tahoma"/>
                <w:sz w:val="24"/>
                <w:szCs w:val="24"/>
              </w:rPr>
              <w:t>Páginas 316 a la 325</w:t>
            </w:r>
          </w:p>
        </w:tc>
        <w:tc>
          <w:tcPr>
            <w:tcW w:w="2835" w:type="dxa"/>
            <w:vAlign w:val="center"/>
          </w:tcPr>
          <w:p w14:paraId="0F88FC55" w14:textId="63A5B6BF" w:rsidR="008C7F0A" w:rsidRPr="00AD1658" w:rsidRDefault="008C7F0A" w:rsidP="008C7F0A">
            <w:pPr>
              <w:jc w:val="center"/>
              <w:rPr>
                <w:rFonts w:ascii="Century Gothic" w:hAnsi="Century Gothic"/>
              </w:rPr>
            </w:pPr>
            <w:r w:rsidRPr="00A4546F">
              <w:rPr>
                <w:rFonts w:ascii="Century Gothic" w:hAnsi="Century Gothic" w:cs="Tahoma"/>
                <w:kern w:val="0"/>
                <w:sz w:val="24"/>
                <w:szCs w:val="24"/>
              </w:rPr>
              <w:t xml:space="preserve">El bienestar es asunto de </w:t>
            </w:r>
            <w:proofErr w:type="spellStart"/>
            <w:r w:rsidRPr="00A4546F">
              <w:rPr>
                <w:rFonts w:ascii="Century Gothic" w:hAnsi="Century Gothic" w:cs="Tahoma"/>
                <w:kern w:val="0"/>
                <w:sz w:val="24"/>
                <w:szCs w:val="24"/>
              </w:rPr>
              <w:t>todxs</w:t>
            </w:r>
            <w:proofErr w:type="spellEnd"/>
            <w:r w:rsidRPr="00A4546F">
              <w:rPr>
                <w:rFonts w:ascii="Century Gothic" w:hAnsi="Century Gothic" w:cs="Tahoma"/>
                <w:kern w:val="0"/>
                <w:sz w:val="24"/>
                <w:szCs w:val="24"/>
              </w:rPr>
              <w:t>.</w:t>
            </w:r>
          </w:p>
        </w:tc>
        <w:tc>
          <w:tcPr>
            <w:tcW w:w="4189" w:type="dxa"/>
            <w:vAlign w:val="center"/>
          </w:tcPr>
          <w:p w14:paraId="1544F34B" w14:textId="54C787F9" w:rsidR="008C7F0A" w:rsidRPr="00AD1658" w:rsidRDefault="008C7F0A" w:rsidP="008C7F0A">
            <w:pPr>
              <w:jc w:val="both"/>
              <w:rPr>
                <w:rFonts w:ascii="Century Gothic" w:hAnsi="Century Gothic"/>
              </w:rPr>
            </w:pPr>
            <w:r w:rsidRPr="00A4546F">
              <w:rPr>
                <w:rFonts w:ascii="Century Gothic" w:hAnsi="Century Gothic" w:cs="Tahoma"/>
                <w:kern w:val="0"/>
                <w:sz w:val="24"/>
                <w:szCs w:val="24"/>
              </w:rPr>
              <w:t>Aprender qué es el riesgo social en el contexto actual y organizar una Feria del empleo, donde propondrán alternativas para la comunidad donde viven.</w:t>
            </w:r>
          </w:p>
        </w:tc>
      </w:tr>
      <w:tr w:rsidR="008C7F0A" w:rsidRPr="00AD1658" w14:paraId="28903A2D" w14:textId="77777777" w:rsidTr="008C7F0A">
        <w:tc>
          <w:tcPr>
            <w:tcW w:w="2689" w:type="dxa"/>
            <w:vAlign w:val="center"/>
          </w:tcPr>
          <w:p w14:paraId="66EAD28D" w14:textId="5842318C" w:rsidR="008C7F0A" w:rsidRPr="00AD1658" w:rsidRDefault="008C7F0A" w:rsidP="008C7F0A">
            <w:pPr>
              <w:jc w:val="center"/>
              <w:rPr>
                <w:rFonts w:ascii="Century Gothic" w:hAnsi="Century Gothic"/>
              </w:rPr>
            </w:pPr>
            <w:r w:rsidRPr="008C7F0A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2835" w:type="dxa"/>
            <w:vAlign w:val="center"/>
          </w:tcPr>
          <w:p w14:paraId="599C58D7" w14:textId="213F5736" w:rsidR="008C7F0A" w:rsidRPr="00AD1658" w:rsidRDefault="008C7F0A" w:rsidP="008C7F0A">
            <w:pPr>
              <w:jc w:val="center"/>
              <w:rPr>
                <w:rFonts w:ascii="Century Gothic" w:hAnsi="Century Gothic"/>
              </w:rPr>
            </w:pPr>
            <w:r w:rsidRPr="008C7F0A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8C7F0A">
              <w:rPr>
                <w:rFonts w:ascii="Century Gothic" w:hAnsi="Century Gothic"/>
              </w:rPr>
              <w:t>Interculturalidad crítica</w:t>
            </w:r>
          </w:p>
        </w:tc>
        <w:tc>
          <w:tcPr>
            <w:tcW w:w="1842" w:type="dxa"/>
            <w:vAlign w:val="center"/>
          </w:tcPr>
          <w:p w14:paraId="05B82C02" w14:textId="77777777" w:rsidR="008C7F0A" w:rsidRPr="00A4546F" w:rsidRDefault="008C7F0A" w:rsidP="008C7F0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A4546F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E092657" w14:textId="057D0652" w:rsidR="008C7F0A" w:rsidRPr="00AD1658" w:rsidRDefault="008C7F0A" w:rsidP="008C7F0A">
            <w:pPr>
              <w:jc w:val="center"/>
              <w:rPr>
                <w:rFonts w:ascii="Century Gothic" w:hAnsi="Century Gothic"/>
              </w:rPr>
            </w:pPr>
            <w:r w:rsidRPr="00A4546F">
              <w:rPr>
                <w:rFonts w:ascii="Century Gothic" w:hAnsi="Century Gothic" w:cs="Tahoma"/>
                <w:sz w:val="24"/>
                <w:szCs w:val="24"/>
              </w:rPr>
              <w:t>Páginas 244 a la 253</w:t>
            </w:r>
          </w:p>
        </w:tc>
        <w:tc>
          <w:tcPr>
            <w:tcW w:w="2835" w:type="dxa"/>
            <w:vAlign w:val="center"/>
          </w:tcPr>
          <w:p w14:paraId="2010C993" w14:textId="723C5250" w:rsidR="008C7F0A" w:rsidRPr="00AD1658" w:rsidRDefault="008C7F0A" w:rsidP="008C7F0A">
            <w:pPr>
              <w:jc w:val="center"/>
              <w:rPr>
                <w:rFonts w:ascii="Century Gothic" w:hAnsi="Century Gothic"/>
              </w:rPr>
            </w:pPr>
            <w:r w:rsidRPr="00A4546F">
              <w:rPr>
                <w:rFonts w:ascii="Century Gothic" w:hAnsi="Century Gothic" w:cs="Tahoma"/>
                <w:kern w:val="0"/>
                <w:sz w:val="24"/>
                <w:szCs w:val="24"/>
              </w:rPr>
              <w:t>Mexicanos en defensa de la soberanía.</w:t>
            </w:r>
          </w:p>
        </w:tc>
        <w:tc>
          <w:tcPr>
            <w:tcW w:w="4189" w:type="dxa"/>
            <w:vAlign w:val="center"/>
          </w:tcPr>
          <w:p w14:paraId="3F11CA71" w14:textId="4116CCF1" w:rsidR="008C7F0A" w:rsidRPr="00AD1658" w:rsidRDefault="008C7F0A" w:rsidP="008C7F0A">
            <w:pPr>
              <w:jc w:val="both"/>
              <w:rPr>
                <w:rFonts w:ascii="Century Gothic" w:hAnsi="Century Gothic"/>
              </w:rPr>
            </w:pPr>
            <w:r w:rsidRPr="00A4546F">
              <w:rPr>
                <w:rFonts w:ascii="Century Gothic" w:hAnsi="Century Gothic" w:cs="Tahoma"/>
                <w:kern w:val="0"/>
                <w:sz w:val="24"/>
                <w:szCs w:val="24"/>
              </w:rPr>
              <w:t>Descubrir el largo camino que se tuvo que recorrer para que México fuera reconocido como una nación soberana e independiente. Obtener información acerca de cómo se enfrentaron los mexicanos del siglo XIX a invasiones, conflictos territoriales y a la violación de la soberanía, y de qué manera influyó todo ello en la conformación territorial del México actual.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6621D" w14:textId="77777777" w:rsidR="007B2EEC" w:rsidRDefault="007B2EEC" w:rsidP="000811FC">
      <w:pPr>
        <w:spacing w:after="0" w:line="240" w:lineRule="auto"/>
      </w:pPr>
      <w:r>
        <w:separator/>
      </w:r>
    </w:p>
  </w:endnote>
  <w:endnote w:type="continuationSeparator" w:id="0">
    <w:p w14:paraId="3C177A0B" w14:textId="77777777" w:rsidR="007B2EEC" w:rsidRDefault="007B2EEC" w:rsidP="000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E14B7" w14:textId="77777777" w:rsidR="007B2EEC" w:rsidRDefault="007B2EEC" w:rsidP="000811FC">
      <w:pPr>
        <w:spacing w:after="0" w:line="240" w:lineRule="auto"/>
      </w:pPr>
      <w:r>
        <w:separator/>
      </w:r>
    </w:p>
  </w:footnote>
  <w:footnote w:type="continuationSeparator" w:id="0">
    <w:p w14:paraId="4044D2C9" w14:textId="77777777" w:rsidR="007B2EEC" w:rsidRDefault="007B2EEC" w:rsidP="000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BC74C" w14:textId="35B18579" w:rsidR="000811FC" w:rsidRPr="000811FC" w:rsidRDefault="000811FC" w:rsidP="000811FC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FCC4E" wp14:editId="58D2CE0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353342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11FC"/>
    <w:rsid w:val="002C7D29"/>
    <w:rsid w:val="002D37A9"/>
    <w:rsid w:val="002F59BC"/>
    <w:rsid w:val="003F05D5"/>
    <w:rsid w:val="004104AA"/>
    <w:rsid w:val="00705C9C"/>
    <w:rsid w:val="007B2EEC"/>
    <w:rsid w:val="00810595"/>
    <w:rsid w:val="008C7F0A"/>
    <w:rsid w:val="009A5BC5"/>
    <w:rsid w:val="00AD1658"/>
    <w:rsid w:val="00B474F4"/>
    <w:rsid w:val="00B51E4C"/>
    <w:rsid w:val="00C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FC"/>
  </w:style>
  <w:style w:type="paragraph" w:styleId="Piedepgina">
    <w:name w:val="footer"/>
    <w:basedOn w:val="Normal"/>
    <w:link w:val="Piedepgina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1125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2025-05-24T05:01:00Z</dcterms:modified>
  <cp:category>www.DidacticosMX.com</cp:category>
</cp:coreProperties>
</file>