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660FC199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5to Grado</w:t>
      </w:r>
    </w:p>
    <w:p w14:paraId="17C42AB9" w14:textId="4B20CE39" w:rsidR="00810595" w:rsidRPr="000811FC" w:rsidRDefault="00FC410F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28 ABRIL AL 9 MAYO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3034"/>
        <w:gridCol w:w="2993"/>
        <w:gridCol w:w="1723"/>
        <w:gridCol w:w="2875"/>
        <w:gridCol w:w="3765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AD1658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FC410F">
        <w:tc>
          <w:tcPr>
            <w:tcW w:w="3034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2993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875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65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FC410F" w:rsidRPr="00AD1658" w14:paraId="3E0896F7" w14:textId="77777777" w:rsidTr="00FC410F">
        <w:tc>
          <w:tcPr>
            <w:tcW w:w="3034" w:type="dxa"/>
            <w:vAlign w:val="center"/>
          </w:tcPr>
          <w:p w14:paraId="2615CD50" w14:textId="38865475" w:rsidR="00FC410F" w:rsidRPr="00AD1658" w:rsidRDefault="00FC410F" w:rsidP="00FC410F">
            <w:pPr>
              <w:jc w:val="center"/>
              <w:rPr>
                <w:rFonts w:ascii="Century Gothic" w:hAnsi="Century Gothic"/>
              </w:rPr>
            </w:pPr>
            <w:r w:rsidRPr="00FC410F">
              <w:rPr>
                <w:rFonts w:ascii="Century Gothic" w:hAnsi="Century Gothic"/>
              </w:rPr>
              <w:t>Lenguajes</w:t>
            </w:r>
          </w:p>
        </w:tc>
        <w:tc>
          <w:tcPr>
            <w:tcW w:w="2993" w:type="dxa"/>
            <w:vAlign w:val="center"/>
          </w:tcPr>
          <w:p w14:paraId="2D724138" w14:textId="5E46C167" w:rsidR="00FC410F" w:rsidRPr="00AD1658" w:rsidRDefault="00FC410F" w:rsidP="00FC410F">
            <w:pPr>
              <w:jc w:val="center"/>
              <w:rPr>
                <w:rFonts w:ascii="Century Gothic" w:hAnsi="Century Gothic"/>
              </w:rPr>
            </w:pPr>
            <w:r w:rsidRPr="00FC410F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FC410F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FC410F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05D2D557" w14:textId="77777777" w:rsidR="00FC410F" w:rsidRPr="00F728F4" w:rsidRDefault="00FC410F" w:rsidP="00FC410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728F4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133CBBF1" w14:textId="044F1F95" w:rsidR="00FC410F" w:rsidRPr="00AD1658" w:rsidRDefault="00FC410F" w:rsidP="00FC410F">
            <w:pPr>
              <w:jc w:val="center"/>
              <w:rPr>
                <w:rFonts w:ascii="Century Gothic" w:hAnsi="Century Gothic"/>
              </w:rPr>
            </w:pPr>
            <w:r w:rsidRPr="00F728F4">
              <w:rPr>
                <w:rFonts w:ascii="Century Gothic" w:hAnsi="Century Gothic" w:cs="Tahoma"/>
                <w:sz w:val="24"/>
                <w:szCs w:val="24"/>
              </w:rPr>
              <w:t>Páginas 46 a la 57</w:t>
            </w:r>
          </w:p>
        </w:tc>
        <w:tc>
          <w:tcPr>
            <w:tcW w:w="2875" w:type="dxa"/>
            <w:vAlign w:val="center"/>
          </w:tcPr>
          <w:p w14:paraId="1C02C1AD" w14:textId="0CC30C0A" w:rsidR="00FC410F" w:rsidRPr="00AD1658" w:rsidRDefault="00FC410F" w:rsidP="00FC410F">
            <w:pPr>
              <w:jc w:val="center"/>
              <w:rPr>
                <w:rFonts w:ascii="Century Gothic" w:hAnsi="Century Gothic"/>
              </w:rPr>
            </w:pPr>
            <w:r w:rsidRPr="00F728F4">
              <w:rPr>
                <w:rFonts w:ascii="Century Gothic" w:hAnsi="Century Gothic" w:cs="Tahoma"/>
                <w:kern w:val="0"/>
                <w:sz w:val="24"/>
                <w:szCs w:val="24"/>
              </w:rPr>
              <w:t>La perspectiva de género desde la música.</w:t>
            </w:r>
          </w:p>
        </w:tc>
        <w:tc>
          <w:tcPr>
            <w:tcW w:w="3765" w:type="dxa"/>
          </w:tcPr>
          <w:p w14:paraId="30CCDB5F" w14:textId="1953F22E" w:rsidR="00FC410F" w:rsidRPr="00AD1658" w:rsidRDefault="00FC410F" w:rsidP="00FC410F">
            <w:pPr>
              <w:jc w:val="both"/>
              <w:rPr>
                <w:rFonts w:ascii="Century Gothic" w:hAnsi="Century Gothic"/>
              </w:rPr>
            </w:pPr>
            <w:r w:rsidRPr="00F728F4">
              <w:rPr>
                <w:rFonts w:ascii="Century Gothic" w:hAnsi="Century Gothic" w:cs="Tahoma"/>
                <w:kern w:val="0"/>
                <w:sz w:val="24"/>
                <w:szCs w:val="24"/>
              </w:rPr>
              <w:t>Intervenir artísticamente una canción para visibilizar y sensibilizar sobre los roles de género y la igualdad de género.</w:t>
            </w:r>
          </w:p>
        </w:tc>
      </w:tr>
      <w:tr w:rsidR="00FC410F" w:rsidRPr="00AD1658" w14:paraId="11363062" w14:textId="77777777" w:rsidTr="00FC410F">
        <w:tc>
          <w:tcPr>
            <w:tcW w:w="3034" w:type="dxa"/>
            <w:vAlign w:val="center"/>
          </w:tcPr>
          <w:p w14:paraId="6A945832" w14:textId="47EAAFBF" w:rsidR="00FC410F" w:rsidRPr="00AD1658" w:rsidRDefault="00FC410F" w:rsidP="00FC410F">
            <w:pPr>
              <w:jc w:val="center"/>
              <w:rPr>
                <w:rFonts w:ascii="Century Gothic" w:hAnsi="Century Gothic"/>
              </w:rPr>
            </w:pPr>
            <w:r w:rsidRPr="00FC410F">
              <w:rPr>
                <w:rFonts w:ascii="Century Gothic" w:hAnsi="Century Gothic"/>
              </w:rPr>
              <w:t>Lenguajes</w:t>
            </w:r>
          </w:p>
        </w:tc>
        <w:tc>
          <w:tcPr>
            <w:tcW w:w="2993" w:type="dxa"/>
            <w:vAlign w:val="center"/>
          </w:tcPr>
          <w:p w14:paraId="58086788" w14:textId="314ABACF" w:rsidR="00FC410F" w:rsidRPr="00AD1658" w:rsidRDefault="00FC410F" w:rsidP="00FC410F">
            <w:pPr>
              <w:jc w:val="center"/>
              <w:rPr>
                <w:rFonts w:ascii="Century Gothic" w:hAnsi="Century Gothic"/>
              </w:rPr>
            </w:pPr>
            <w:r w:rsidRPr="00FC410F">
              <w:rPr>
                <w:rFonts w:ascii="Century Gothic" w:hAnsi="Century Gothic"/>
              </w:rPr>
              <w:t>Pensamiento crítico</w:t>
            </w:r>
          </w:p>
        </w:tc>
        <w:tc>
          <w:tcPr>
            <w:tcW w:w="1723" w:type="dxa"/>
            <w:vAlign w:val="center"/>
          </w:tcPr>
          <w:p w14:paraId="447E7E11" w14:textId="77777777" w:rsidR="00FC410F" w:rsidRPr="00F728F4" w:rsidRDefault="00FC410F" w:rsidP="00FC410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F728F4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55789F6D" w14:textId="43B72439" w:rsidR="00FC410F" w:rsidRPr="00AD1658" w:rsidRDefault="00FC410F" w:rsidP="00FC410F">
            <w:pPr>
              <w:jc w:val="center"/>
              <w:rPr>
                <w:rFonts w:ascii="Century Gothic" w:hAnsi="Century Gothic"/>
              </w:rPr>
            </w:pPr>
            <w:r w:rsidRPr="00F728F4">
              <w:rPr>
                <w:rFonts w:ascii="Century Gothic" w:hAnsi="Century Gothic" w:cs="Tahoma"/>
                <w:sz w:val="24"/>
                <w:szCs w:val="24"/>
              </w:rPr>
              <w:t>Páginas 44 a la 55</w:t>
            </w:r>
          </w:p>
        </w:tc>
        <w:tc>
          <w:tcPr>
            <w:tcW w:w="2875" w:type="dxa"/>
            <w:vAlign w:val="center"/>
          </w:tcPr>
          <w:p w14:paraId="0F88FC55" w14:textId="0727092B" w:rsidR="00FC410F" w:rsidRPr="00AD1658" w:rsidRDefault="00FC410F" w:rsidP="00FC410F">
            <w:pPr>
              <w:jc w:val="center"/>
              <w:rPr>
                <w:rFonts w:ascii="Century Gothic" w:hAnsi="Century Gothic"/>
              </w:rPr>
            </w:pPr>
            <w:r w:rsidRPr="00F728F4">
              <w:rPr>
                <w:rFonts w:ascii="Century Gothic" w:hAnsi="Century Gothic" w:cs="Tahoma"/>
                <w:kern w:val="0"/>
                <w:sz w:val="24"/>
                <w:szCs w:val="24"/>
              </w:rPr>
              <w:t>Nuestra primera revista colectiva.</w:t>
            </w:r>
          </w:p>
        </w:tc>
        <w:tc>
          <w:tcPr>
            <w:tcW w:w="3765" w:type="dxa"/>
            <w:vAlign w:val="center"/>
          </w:tcPr>
          <w:p w14:paraId="1544F34B" w14:textId="5A860B62" w:rsidR="00FC410F" w:rsidRPr="00AD1658" w:rsidRDefault="00FC410F" w:rsidP="00FC410F">
            <w:pPr>
              <w:jc w:val="both"/>
              <w:rPr>
                <w:rFonts w:ascii="Century Gothic" w:hAnsi="Century Gothic"/>
              </w:rPr>
            </w:pPr>
            <w:r w:rsidRPr="00F728F4">
              <w:rPr>
                <w:rFonts w:ascii="Century Gothic" w:hAnsi="Century Gothic" w:cs="Tahoma"/>
                <w:kern w:val="0"/>
                <w:sz w:val="24"/>
                <w:szCs w:val="24"/>
              </w:rPr>
              <w:t>Realizar una revista de divulgación que se centre en diferentes acontecimientos y lugares del mundo. Investigar sobre algunas maneras de informar e informarte y consultar diferentes medios para, finalmente, hacer una presentación ante las madres y padres de familia.</w:t>
            </w:r>
          </w:p>
        </w:tc>
      </w:tr>
      <w:tr w:rsidR="00FC410F" w:rsidRPr="00AD1658" w14:paraId="28903A2D" w14:textId="77777777" w:rsidTr="00FC410F">
        <w:tc>
          <w:tcPr>
            <w:tcW w:w="3034" w:type="dxa"/>
            <w:vAlign w:val="center"/>
          </w:tcPr>
          <w:p w14:paraId="66EAD28D" w14:textId="5D130DE3" w:rsidR="00FC410F" w:rsidRPr="00AD1658" w:rsidRDefault="00FC410F" w:rsidP="00FC410F">
            <w:pPr>
              <w:jc w:val="center"/>
              <w:rPr>
                <w:rFonts w:ascii="Century Gothic" w:hAnsi="Century Gothic"/>
              </w:rPr>
            </w:pPr>
            <w:r w:rsidRPr="00FC410F">
              <w:rPr>
                <w:rFonts w:ascii="Century Gothic" w:hAnsi="Century Gothic"/>
              </w:rPr>
              <w:t>Lenguajes</w:t>
            </w:r>
          </w:p>
        </w:tc>
        <w:tc>
          <w:tcPr>
            <w:tcW w:w="2993" w:type="dxa"/>
            <w:vAlign w:val="center"/>
          </w:tcPr>
          <w:p w14:paraId="599C58D7" w14:textId="60A234A4" w:rsidR="00FC410F" w:rsidRPr="00AD1658" w:rsidRDefault="00FC410F" w:rsidP="00FC410F">
            <w:pPr>
              <w:jc w:val="center"/>
              <w:rPr>
                <w:rFonts w:ascii="Century Gothic" w:hAnsi="Century Gothic"/>
              </w:rPr>
            </w:pPr>
            <w:r w:rsidRPr="00FC410F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FC410F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FC410F">
              <w:rPr>
                <w:rFonts w:ascii="Century Gothic" w:hAnsi="Century Gothic"/>
              </w:rPr>
              <w:t>Igualdad de género</w:t>
            </w:r>
            <w:r>
              <w:rPr>
                <w:rFonts w:ascii="Century Gothic" w:hAnsi="Century Gothic"/>
              </w:rPr>
              <w:t xml:space="preserve">, </w:t>
            </w:r>
            <w:r w:rsidRPr="00FC410F">
              <w:rPr>
                <w:rFonts w:ascii="Century Gothic" w:hAnsi="Century Gothic"/>
              </w:rPr>
              <w:t>Apropiación de las culturas a través de la lectura y la escritura</w:t>
            </w:r>
            <w:r>
              <w:rPr>
                <w:rFonts w:ascii="Century Gothic" w:hAnsi="Century Gothic"/>
              </w:rPr>
              <w:t xml:space="preserve">, </w:t>
            </w:r>
            <w:r w:rsidRPr="00FC410F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06D9C0DD" w14:textId="77777777" w:rsidR="00FC410F" w:rsidRPr="0028743B" w:rsidRDefault="00FC410F" w:rsidP="00FC410F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28743B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6AC8997A" w:rsidR="00FC410F" w:rsidRPr="00AD1658" w:rsidRDefault="00FC410F" w:rsidP="00FC410F">
            <w:pPr>
              <w:jc w:val="center"/>
              <w:rPr>
                <w:rFonts w:ascii="Century Gothic" w:hAnsi="Century Gothic"/>
              </w:rPr>
            </w:pPr>
            <w:r w:rsidRPr="0028743B">
              <w:rPr>
                <w:rFonts w:ascii="Century Gothic" w:hAnsi="Century Gothic" w:cs="Tahoma"/>
                <w:sz w:val="24"/>
                <w:szCs w:val="24"/>
              </w:rPr>
              <w:t>Páginas 102 a la 113</w:t>
            </w:r>
          </w:p>
        </w:tc>
        <w:tc>
          <w:tcPr>
            <w:tcW w:w="2875" w:type="dxa"/>
            <w:vAlign w:val="center"/>
          </w:tcPr>
          <w:p w14:paraId="2010C993" w14:textId="614459C4" w:rsidR="00FC410F" w:rsidRPr="00AD1658" w:rsidRDefault="00FC410F" w:rsidP="00FC410F">
            <w:pPr>
              <w:jc w:val="center"/>
              <w:rPr>
                <w:rFonts w:ascii="Century Gothic" w:hAnsi="Century Gothic"/>
              </w:rPr>
            </w:pPr>
            <w:r w:rsidRPr="0028743B">
              <w:rPr>
                <w:rFonts w:ascii="Century Gothic" w:hAnsi="Century Gothic" w:cs="Tahoma"/>
                <w:kern w:val="0"/>
                <w:sz w:val="24"/>
                <w:szCs w:val="24"/>
              </w:rPr>
              <w:t>Heroínas y héroes, ¿ficción o realidad?</w:t>
            </w:r>
          </w:p>
        </w:tc>
        <w:tc>
          <w:tcPr>
            <w:tcW w:w="3765" w:type="dxa"/>
            <w:vAlign w:val="center"/>
          </w:tcPr>
          <w:p w14:paraId="3F11CA71" w14:textId="2EBD90CB" w:rsidR="00FC410F" w:rsidRPr="00AD1658" w:rsidRDefault="00FC410F" w:rsidP="00FC410F">
            <w:pPr>
              <w:jc w:val="both"/>
              <w:rPr>
                <w:rFonts w:ascii="Century Gothic" w:hAnsi="Century Gothic"/>
              </w:rPr>
            </w:pPr>
            <w:r w:rsidRPr="0028743B">
              <w:rPr>
                <w:rFonts w:ascii="Century Gothic" w:hAnsi="Century Gothic" w:cs="Tahoma"/>
                <w:kern w:val="0"/>
                <w:sz w:val="24"/>
                <w:szCs w:val="24"/>
              </w:rPr>
              <w:t>Indagar sobre personas destacadas o consideradas importantes por la comunidad, para crear una historieta y exponerla, con el propósito de mostrar su valor.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08018" w14:textId="77777777" w:rsidR="00D779AA" w:rsidRDefault="00D779AA" w:rsidP="000811FC">
      <w:pPr>
        <w:spacing w:after="0" w:line="240" w:lineRule="auto"/>
      </w:pPr>
      <w:r>
        <w:separator/>
      </w:r>
    </w:p>
  </w:endnote>
  <w:endnote w:type="continuationSeparator" w:id="0">
    <w:p w14:paraId="791829BB" w14:textId="77777777" w:rsidR="00D779AA" w:rsidRDefault="00D779AA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D4F81" w14:textId="77777777" w:rsidR="00D779AA" w:rsidRDefault="00D779AA" w:rsidP="000811FC">
      <w:pPr>
        <w:spacing w:after="0" w:line="240" w:lineRule="auto"/>
      </w:pPr>
      <w:r>
        <w:separator/>
      </w:r>
    </w:p>
  </w:footnote>
  <w:footnote w:type="continuationSeparator" w:id="0">
    <w:p w14:paraId="04AF3638" w14:textId="77777777" w:rsidR="00D779AA" w:rsidRDefault="00D779AA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1551E2"/>
    <w:rsid w:val="002C7D29"/>
    <w:rsid w:val="002D37A9"/>
    <w:rsid w:val="002F59BC"/>
    <w:rsid w:val="003F05D5"/>
    <w:rsid w:val="004104AA"/>
    <w:rsid w:val="00810595"/>
    <w:rsid w:val="009A5BC5"/>
    <w:rsid w:val="00AD1658"/>
    <w:rsid w:val="00B474F4"/>
    <w:rsid w:val="00B51E4C"/>
    <w:rsid w:val="00CD5FC1"/>
    <w:rsid w:val="00D779AA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981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2025-04-28T05:41:00Z</dcterms:modified>
  <cp:category>www.DidacticosMx.com</cp:category>
</cp:coreProperties>
</file>