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0"/>
        <w:gridCol w:w="2997"/>
        <w:gridCol w:w="1723"/>
        <w:gridCol w:w="2874"/>
        <w:gridCol w:w="3756"/>
      </w:tblGrid>
      <w:tr w:rsidR="00AD1658" w:rsidRPr="00D803D5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D803D5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03D5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D803D5" w14:paraId="0ED89697" w14:textId="77777777" w:rsidTr="00D803D5">
        <w:tc>
          <w:tcPr>
            <w:tcW w:w="3081" w:type="dxa"/>
            <w:shd w:val="clear" w:color="auto" w:fill="E5F0FF"/>
            <w:vAlign w:val="center"/>
          </w:tcPr>
          <w:p w14:paraId="2010CF81" w14:textId="0E05CB10" w:rsidR="00AD1658" w:rsidRPr="00D803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03D5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E5F0FF"/>
            <w:vAlign w:val="center"/>
          </w:tcPr>
          <w:p w14:paraId="3FF55929" w14:textId="2775533F" w:rsidR="00AD1658" w:rsidRPr="00D803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03D5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D803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03D5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E5F0FF"/>
            <w:vAlign w:val="center"/>
          </w:tcPr>
          <w:p w14:paraId="0490FFAC" w14:textId="4AF7C1E6" w:rsidR="00AD1658" w:rsidRPr="00D803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03D5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5" w:type="dxa"/>
            <w:shd w:val="clear" w:color="auto" w:fill="E5F0FF"/>
            <w:vAlign w:val="center"/>
          </w:tcPr>
          <w:p w14:paraId="49AD0D00" w14:textId="0DD44579" w:rsidR="00AD1658" w:rsidRPr="00D803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03D5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944D5" w:rsidRPr="00D803D5" w14:paraId="3E0896F7" w14:textId="77777777" w:rsidTr="00D803D5">
        <w:tc>
          <w:tcPr>
            <w:tcW w:w="3081" w:type="dxa"/>
            <w:vAlign w:val="center"/>
          </w:tcPr>
          <w:p w14:paraId="2615CD50" w14:textId="3266CC86" w:rsidR="008944D5" w:rsidRPr="00D803D5" w:rsidRDefault="00D803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Lenguajes</w:t>
            </w:r>
          </w:p>
        </w:tc>
        <w:tc>
          <w:tcPr>
            <w:tcW w:w="3028" w:type="dxa"/>
            <w:vAlign w:val="center"/>
          </w:tcPr>
          <w:p w14:paraId="4ACC77B7" w14:textId="77777777" w:rsidR="00D803D5" w:rsidRPr="00D803D5" w:rsidRDefault="00D803D5" w:rsidP="00D803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Inclusión</w:t>
            </w:r>
          </w:p>
          <w:p w14:paraId="0D5BA15F" w14:textId="77777777" w:rsidR="00D803D5" w:rsidRPr="00D803D5" w:rsidRDefault="00D803D5" w:rsidP="00D803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Pensamiento crítico</w:t>
            </w:r>
          </w:p>
          <w:p w14:paraId="5827C777" w14:textId="77777777" w:rsidR="00D803D5" w:rsidRPr="00D803D5" w:rsidRDefault="00D803D5" w:rsidP="00D803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Igualdad de género</w:t>
            </w:r>
          </w:p>
          <w:p w14:paraId="2D724138" w14:textId="5543CE9E" w:rsidR="008944D5" w:rsidRPr="00D803D5" w:rsidRDefault="008944D5" w:rsidP="008944D5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1DB0DD5" w14:textId="77777777" w:rsidR="008944D5" w:rsidRPr="00D803D5" w:rsidRDefault="008944D5" w:rsidP="008944D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0BAE8AF6" w:rsidR="008944D5" w:rsidRPr="00D803D5" w:rsidRDefault="008944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Páginas 104 a la 119</w:t>
            </w:r>
          </w:p>
        </w:tc>
        <w:tc>
          <w:tcPr>
            <w:tcW w:w="2910" w:type="dxa"/>
            <w:vAlign w:val="center"/>
          </w:tcPr>
          <w:p w14:paraId="1C02C1AD" w14:textId="155568BE" w:rsidR="008944D5" w:rsidRPr="00D803D5" w:rsidRDefault="008944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Un día en la escuela.</w:t>
            </w:r>
          </w:p>
        </w:tc>
        <w:tc>
          <w:tcPr>
            <w:tcW w:w="3805" w:type="dxa"/>
            <w:vAlign w:val="center"/>
          </w:tcPr>
          <w:p w14:paraId="30CCDB5F" w14:textId="538F5041" w:rsidR="008944D5" w:rsidRPr="00D803D5" w:rsidRDefault="008944D5" w:rsidP="008944D5">
            <w:pPr>
              <w:rPr>
                <w:rFonts w:ascii="Century Gothic" w:hAnsi="Century Gothic"/>
              </w:rPr>
            </w:pPr>
            <w:proofErr w:type="gramStart"/>
            <w:r w:rsidRPr="00D803D5">
              <w:rPr>
                <w:rFonts w:ascii="Century Gothic" w:hAnsi="Century Gothic" w:cs="Tahoma"/>
                <w:sz w:val="24"/>
                <w:szCs w:val="24"/>
              </w:rPr>
              <w:t>Reconocer</w:t>
            </w:r>
            <w:proofErr w:type="gramEnd"/>
            <w:r w:rsidRPr="00D803D5">
              <w:rPr>
                <w:rFonts w:ascii="Century Gothic" w:hAnsi="Century Gothic" w:cs="Tahoma"/>
                <w:sz w:val="24"/>
                <w:szCs w:val="24"/>
              </w:rPr>
              <w:t xml:space="preserve"> que un mismo tema como la igualdad entre niñas y niños, inspira distintas historias. Usar su creatividad e imaginación para escribir tu propio guion teatral, el cual les servirá para dar voz a personajes reales o ficticios. Transformar algunos recursos para utilizarlos como vestuario o utilería en la representación de su guion, mediante una lectura dramatizada compartir su texto con el resto de la comunidad escolar.</w:t>
            </w:r>
          </w:p>
        </w:tc>
      </w:tr>
      <w:tr w:rsidR="008944D5" w:rsidRPr="00D803D5" w14:paraId="11363062" w14:textId="77777777" w:rsidTr="00D803D5">
        <w:tc>
          <w:tcPr>
            <w:tcW w:w="3081" w:type="dxa"/>
            <w:vAlign w:val="center"/>
          </w:tcPr>
          <w:p w14:paraId="6A945832" w14:textId="2F71717D" w:rsidR="008944D5" w:rsidRPr="00D803D5" w:rsidRDefault="00D803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56D317D5" w14:textId="77777777" w:rsidR="00D803D5" w:rsidRPr="00D803D5" w:rsidRDefault="00D803D5" w:rsidP="00D803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Inclusión</w:t>
            </w:r>
          </w:p>
          <w:p w14:paraId="7B4634BF" w14:textId="77777777" w:rsidR="00D803D5" w:rsidRPr="00D803D5" w:rsidRDefault="00D803D5" w:rsidP="00D803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Pensamiento crítico</w:t>
            </w:r>
          </w:p>
          <w:p w14:paraId="4F627294" w14:textId="77777777" w:rsidR="00D803D5" w:rsidRPr="00D803D5" w:rsidRDefault="00D803D5" w:rsidP="00D803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Igualdad de género</w:t>
            </w:r>
          </w:p>
          <w:p w14:paraId="58086788" w14:textId="34FA4B3E" w:rsidR="008944D5" w:rsidRPr="00D803D5" w:rsidRDefault="008944D5" w:rsidP="008944D5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3C06B52A" w14:textId="77777777" w:rsidR="008944D5" w:rsidRPr="00D803D5" w:rsidRDefault="008944D5" w:rsidP="008944D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6860E725" w:rsidR="008944D5" w:rsidRPr="00D803D5" w:rsidRDefault="008944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Páginas 220 a la 229</w:t>
            </w:r>
          </w:p>
        </w:tc>
        <w:tc>
          <w:tcPr>
            <w:tcW w:w="2910" w:type="dxa"/>
            <w:vAlign w:val="center"/>
          </w:tcPr>
          <w:p w14:paraId="0F88FC55" w14:textId="4BB060BE" w:rsidR="008944D5" w:rsidRPr="00D803D5" w:rsidRDefault="008944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Las personas merecen un trato igualitario.</w:t>
            </w:r>
          </w:p>
        </w:tc>
        <w:tc>
          <w:tcPr>
            <w:tcW w:w="3805" w:type="dxa"/>
            <w:vAlign w:val="center"/>
          </w:tcPr>
          <w:p w14:paraId="1544F34B" w14:textId="054A75FA" w:rsidR="008944D5" w:rsidRPr="00D803D5" w:rsidRDefault="008944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Crear un Arcoíris de los buenos tratos que les ayude a generar compromisos para evitar acciones de discriminación en su comunidad escolar. Esto permitirá que identifiquen el derecho a un trato digno e igualitario y a valorar las diferencias.</w:t>
            </w:r>
          </w:p>
        </w:tc>
      </w:tr>
      <w:tr w:rsidR="008944D5" w:rsidRPr="00D803D5" w14:paraId="28903A2D" w14:textId="77777777" w:rsidTr="00D803D5">
        <w:tc>
          <w:tcPr>
            <w:tcW w:w="3081" w:type="dxa"/>
            <w:vAlign w:val="center"/>
          </w:tcPr>
          <w:p w14:paraId="66EAD28D" w14:textId="2A843F79" w:rsidR="008944D5" w:rsidRPr="00D803D5" w:rsidRDefault="00D803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34F330C7" w14:textId="77777777" w:rsidR="00D803D5" w:rsidRPr="00D803D5" w:rsidRDefault="00D803D5" w:rsidP="00D803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>Vida saludable</w:t>
            </w:r>
          </w:p>
          <w:p w14:paraId="48326D5F" w14:textId="77777777" w:rsidR="00D803D5" w:rsidRPr="00D803D5" w:rsidRDefault="00D803D5" w:rsidP="00D803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8944D5" w:rsidRPr="00D803D5" w:rsidRDefault="008944D5" w:rsidP="008944D5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49CA4EE" w14:textId="77777777" w:rsidR="008944D5" w:rsidRPr="00D803D5" w:rsidRDefault="008944D5" w:rsidP="008944D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586FFF46" w:rsidR="008944D5" w:rsidRPr="00D803D5" w:rsidRDefault="008944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Páginas 320 a la 337</w:t>
            </w:r>
          </w:p>
        </w:tc>
        <w:tc>
          <w:tcPr>
            <w:tcW w:w="2910" w:type="dxa"/>
            <w:vAlign w:val="center"/>
          </w:tcPr>
          <w:p w14:paraId="2010C993" w14:textId="3E4D8290" w:rsidR="008944D5" w:rsidRPr="00D803D5" w:rsidRDefault="008944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>Talleres de emociones.</w:t>
            </w:r>
          </w:p>
        </w:tc>
        <w:tc>
          <w:tcPr>
            <w:tcW w:w="3805" w:type="dxa"/>
            <w:vAlign w:val="center"/>
          </w:tcPr>
          <w:p w14:paraId="3F11CA71" w14:textId="4A5D52D9" w:rsidR="008944D5" w:rsidRPr="00D803D5" w:rsidRDefault="008944D5" w:rsidP="008944D5">
            <w:pPr>
              <w:rPr>
                <w:rFonts w:ascii="Century Gothic" w:hAnsi="Century Gothic"/>
              </w:rPr>
            </w:pPr>
            <w:r w:rsidRPr="00D803D5">
              <w:rPr>
                <w:rFonts w:ascii="Century Gothic" w:hAnsi="Century Gothic" w:cs="Tahoma"/>
                <w:sz w:val="24"/>
                <w:szCs w:val="24"/>
              </w:rPr>
              <w:t xml:space="preserve">Llevar a cabo Talleres de emociones donde los miembros de su comunidad reconozcan sus reacciones </w:t>
            </w:r>
            <w:r w:rsidRPr="00D803D5">
              <w:rPr>
                <w:rFonts w:ascii="Century Gothic" w:hAnsi="Century Gothic" w:cs="Tahoma"/>
                <w:sz w:val="24"/>
                <w:szCs w:val="24"/>
              </w:rPr>
              <w:lastRenderedPageBreak/>
              <w:t>emocionales y la intensidad de éstas, así como algunas técnicas para regularlas.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77BE" w14:textId="77777777" w:rsidR="001C44DC" w:rsidRDefault="001C44DC" w:rsidP="0040208D">
      <w:pPr>
        <w:spacing w:after="0" w:line="240" w:lineRule="auto"/>
      </w:pPr>
      <w:r>
        <w:separator/>
      </w:r>
    </w:p>
  </w:endnote>
  <w:endnote w:type="continuationSeparator" w:id="0">
    <w:p w14:paraId="1DCF8B5C" w14:textId="77777777" w:rsidR="001C44DC" w:rsidRDefault="001C44DC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34D5" w14:textId="77777777" w:rsidR="001C44DC" w:rsidRDefault="001C44DC" w:rsidP="0040208D">
      <w:pPr>
        <w:spacing w:after="0" w:line="240" w:lineRule="auto"/>
      </w:pPr>
      <w:r>
        <w:separator/>
      </w:r>
    </w:p>
  </w:footnote>
  <w:footnote w:type="continuationSeparator" w:id="0">
    <w:p w14:paraId="5A2F54A9" w14:textId="77777777" w:rsidR="001C44DC" w:rsidRDefault="001C44DC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C44DC"/>
    <w:rsid w:val="002F59BC"/>
    <w:rsid w:val="0040208D"/>
    <w:rsid w:val="004104AA"/>
    <w:rsid w:val="0053351A"/>
    <w:rsid w:val="00711889"/>
    <w:rsid w:val="0072408D"/>
    <w:rsid w:val="007313AC"/>
    <w:rsid w:val="008944D5"/>
    <w:rsid w:val="009A14DE"/>
    <w:rsid w:val="009A5BC5"/>
    <w:rsid w:val="00AD1658"/>
    <w:rsid w:val="00B474F4"/>
    <w:rsid w:val="00B51E4C"/>
    <w:rsid w:val="00D803D5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D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1152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2025-04-25T16:40:00Z</dcterms:modified>
  <cp:category>www.DidacticosMx.com</cp:category>
</cp:coreProperties>
</file>