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DF972" w14:textId="7F9773B1" w:rsidR="00AD1658" w:rsidRDefault="002E3E2E" w:rsidP="002E3E2E">
      <w:pPr>
        <w:spacing w:after="0"/>
        <w:jc w:val="center"/>
        <w:rPr>
          <w:rFonts w:ascii="Century Gothic" w:hAnsi="Century Gothic"/>
          <w:b/>
          <w:bCs/>
          <w:sz w:val="32"/>
          <w:szCs w:val="32"/>
        </w:rPr>
      </w:pPr>
      <w:r>
        <w:rPr>
          <w:rFonts w:ascii="Century Gothic" w:hAnsi="Century Gothic"/>
          <w:b/>
          <w:bCs/>
          <w:sz w:val="32"/>
          <w:szCs w:val="32"/>
        </w:rPr>
        <w:t>1er Grado</w:t>
      </w:r>
    </w:p>
    <w:p w14:paraId="1DAA267C" w14:textId="256F73B7" w:rsidR="00F36A7E" w:rsidRPr="002E3E2E" w:rsidRDefault="00F36A7E" w:rsidP="002E3E2E">
      <w:pPr>
        <w:spacing w:after="0"/>
        <w:jc w:val="center"/>
        <w:rPr>
          <w:rFonts w:ascii="Century Gothic" w:hAnsi="Century Gothic"/>
          <w:b/>
          <w:bCs/>
          <w:sz w:val="32"/>
          <w:szCs w:val="32"/>
        </w:rPr>
      </w:pPr>
      <w:r>
        <w:rPr>
          <w:rFonts w:ascii="Century Gothic" w:hAnsi="Century Gothic"/>
          <w:b/>
          <w:bCs/>
          <w:sz w:val="32"/>
          <w:szCs w:val="32"/>
        </w:rPr>
        <w:t>FECHA</w:t>
      </w:r>
    </w:p>
    <w:tbl>
      <w:tblPr>
        <w:tblStyle w:val="Tablaconcuadrcula"/>
        <w:tblW w:w="0" w:type="auto"/>
        <w:tblBorders>
          <w:top w:val="single" w:sz="4" w:space="0" w:color="4FFF4F"/>
          <w:left w:val="single" w:sz="4" w:space="0" w:color="4FFF4F"/>
          <w:bottom w:val="single" w:sz="4" w:space="0" w:color="4FFF4F"/>
          <w:right w:val="single" w:sz="4" w:space="0" w:color="4FFF4F"/>
          <w:insideH w:val="single" w:sz="4" w:space="0" w:color="4FFF4F"/>
          <w:insideV w:val="single" w:sz="4" w:space="0" w:color="4FFF4F"/>
        </w:tblBorders>
        <w:tblLook w:val="04A0" w:firstRow="1" w:lastRow="0" w:firstColumn="1" w:lastColumn="0" w:noHBand="0" w:noVBand="1"/>
      </w:tblPr>
      <w:tblGrid>
        <w:gridCol w:w="3072"/>
        <w:gridCol w:w="3023"/>
        <w:gridCol w:w="1598"/>
        <w:gridCol w:w="2904"/>
        <w:gridCol w:w="3793"/>
      </w:tblGrid>
      <w:tr w:rsidR="00AD1658" w:rsidRPr="00AD1658" w14:paraId="51312299" w14:textId="77777777" w:rsidTr="0077183D">
        <w:tc>
          <w:tcPr>
            <w:tcW w:w="14390" w:type="dxa"/>
            <w:gridSpan w:val="5"/>
            <w:shd w:val="clear" w:color="auto" w:fill="B3FFB3"/>
            <w:vAlign w:val="center"/>
          </w:tcPr>
          <w:p w14:paraId="7345A0A7" w14:textId="66C1CAF0" w:rsidR="00AD1658" w:rsidRPr="00AD1658" w:rsidRDefault="00CB06F3" w:rsidP="00AD1658">
            <w:pPr>
              <w:jc w:val="center"/>
              <w:rPr>
                <w:rFonts w:ascii="Century Gothic" w:hAnsi="Century Gothic"/>
                <w:b/>
                <w:bCs/>
                <w:sz w:val="26"/>
                <w:szCs w:val="26"/>
              </w:rPr>
            </w:pPr>
            <w:r>
              <w:rPr>
                <w:rFonts w:ascii="Century Gothic" w:hAnsi="Century Gothic"/>
                <w:b/>
                <w:bCs/>
                <w:sz w:val="26"/>
                <w:szCs w:val="26"/>
              </w:rPr>
              <w:t>DOSIFICACIÓN</w:t>
            </w:r>
          </w:p>
        </w:tc>
      </w:tr>
      <w:tr w:rsidR="00AD1658" w:rsidRPr="00AD1658" w14:paraId="0ED89697" w14:textId="77777777" w:rsidTr="00AD1658">
        <w:tc>
          <w:tcPr>
            <w:tcW w:w="3114" w:type="dxa"/>
            <w:shd w:val="clear" w:color="auto" w:fill="E1FFE1"/>
            <w:vAlign w:val="center"/>
          </w:tcPr>
          <w:p w14:paraId="2010CF81" w14:textId="0E05CB10" w:rsidR="00AD1658" w:rsidRPr="00AD1658" w:rsidRDefault="00AD1658" w:rsidP="00AD1658">
            <w:pPr>
              <w:jc w:val="center"/>
              <w:rPr>
                <w:rFonts w:ascii="Century Gothic" w:hAnsi="Century Gothic"/>
                <w:b/>
                <w:bCs/>
                <w:sz w:val="26"/>
                <w:szCs w:val="26"/>
              </w:rPr>
            </w:pPr>
            <w:r w:rsidRPr="00AD1658">
              <w:rPr>
                <w:rFonts w:ascii="Century Gothic" w:hAnsi="Century Gothic"/>
                <w:b/>
                <w:bCs/>
                <w:sz w:val="26"/>
                <w:szCs w:val="26"/>
              </w:rPr>
              <w:t>Campo Formativo</w:t>
            </w:r>
          </w:p>
        </w:tc>
        <w:tc>
          <w:tcPr>
            <w:tcW w:w="3051" w:type="dxa"/>
            <w:shd w:val="clear" w:color="auto" w:fill="E1FFE1"/>
            <w:vAlign w:val="center"/>
          </w:tcPr>
          <w:p w14:paraId="3FF55929" w14:textId="2775533F" w:rsidR="00AD1658" w:rsidRPr="00AD1658" w:rsidRDefault="00AD1658" w:rsidP="00AD1658">
            <w:pPr>
              <w:jc w:val="center"/>
              <w:rPr>
                <w:rFonts w:ascii="Century Gothic" w:hAnsi="Century Gothic"/>
                <w:b/>
                <w:bCs/>
                <w:sz w:val="26"/>
                <w:szCs w:val="26"/>
              </w:rPr>
            </w:pPr>
            <w:r w:rsidRPr="00AD1658">
              <w:rPr>
                <w:rFonts w:ascii="Century Gothic" w:hAnsi="Century Gothic"/>
                <w:b/>
                <w:bCs/>
                <w:sz w:val="26"/>
                <w:szCs w:val="26"/>
              </w:rPr>
              <w:t>Ejes articuladores</w:t>
            </w:r>
          </w:p>
        </w:tc>
        <w:tc>
          <w:tcPr>
            <w:tcW w:w="1439" w:type="dxa"/>
            <w:shd w:val="clear" w:color="auto" w:fill="E1FFE1"/>
            <w:vAlign w:val="center"/>
          </w:tcPr>
          <w:p w14:paraId="426A56CE" w14:textId="6F50816E" w:rsidR="00AD1658" w:rsidRPr="00AD1658" w:rsidRDefault="00AD1658" w:rsidP="00AD1658">
            <w:pPr>
              <w:jc w:val="center"/>
              <w:rPr>
                <w:rFonts w:ascii="Century Gothic" w:hAnsi="Century Gothic"/>
                <w:b/>
                <w:bCs/>
                <w:sz w:val="26"/>
                <w:szCs w:val="26"/>
              </w:rPr>
            </w:pPr>
            <w:r w:rsidRPr="00AD1658">
              <w:rPr>
                <w:rFonts w:ascii="Century Gothic" w:hAnsi="Century Gothic"/>
                <w:b/>
                <w:bCs/>
                <w:sz w:val="26"/>
                <w:szCs w:val="26"/>
              </w:rPr>
              <w:t>Escenario</w:t>
            </w:r>
          </w:p>
        </w:tc>
        <w:tc>
          <w:tcPr>
            <w:tcW w:w="2940" w:type="dxa"/>
            <w:shd w:val="clear" w:color="auto" w:fill="E1FFE1"/>
            <w:vAlign w:val="center"/>
          </w:tcPr>
          <w:p w14:paraId="0490FFAC" w14:textId="4AF7C1E6" w:rsidR="00AD1658" w:rsidRPr="00AD1658" w:rsidRDefault="00AD1658" w:rsidP="00AD1658">
            <w:pPr>
              <w:jc w:val="center"/>
              <w:rPr>
                <w:rFonts w:ascii="Century Gothic" w:hAnsi="Century Gothic"/>
                <w:b/>
                <w:bCs/>
                <w:sz w:val="26"/>
                <w:szCs w:val="26"/>
              </w:rPr>
            </w:pPr>
            <w:r w:rsidRPr="00AD1658">
              <w:rPr>
                <w:rFonts w:ascii="Century Gothic" w:hAnsi="Century Gothic"/>
                <w:b/>
                <w:bCs/>
                <w:sz w:val="26"/>
                <w:szCs w:val="26"/>
              </w:rPr>
              <w:t>Nombre del proyecto</w:t>
            </w:r>
          </w:p>
        </w:tc>
        <w:tc>
          <w:tcPr>
            <w:tcW w:w="3846" w:type="dxa"/>
            <w:shd w:val="clear" w:color="auto" w:fill="E1FFE1"/>
            <w:vAlign w:val="center"/>
          </w:tcPr>
          <w:p w14:paraId="49AD0D00" w14:textId="0DD44579" w:rsidR="00AD1658" w:rsidRPr="00AD1658" w:rsidRDefault="00AD1658" w:rsidP="00AD1658">
            <w:pPr>
              <w:jc w:val="center"/>
              <w:rPr>
                <w:rFonts w:ascii="Century Gothic" w:hAnsi="Century Gothic"/>
                <w:b/>
                <w:bCs/>
                <w:sz w:val="26"/>
                <w:szCs w:val="26"/>
              </w:rPr>
            </w:pPr>
            <w:r w:rsidRPr="00AD1658">
              <w:rPr>
                <w:rFonts w:ascii="Century Gothic" w:hAnsi="Century Gothic"/>
                <w:b/>
                <w:bCs/>
                <w:sz w:val="26"/>
                <w:szCs w:val="26"/>
              </w:rPr>
              <w:t>Propósito</w:t>
            </w:r>
          </w:p>
        </w:tc>
      </w:tr>
      <w:tr w:rsidR="00CC61D9" w:rsidRPr="00AD1658" w14:paraId="3E0896F7" w14:textId="77777777" w:rsidTr="00AD1658">
        <w:tc>
          <w:tcPr>
            <w:tcW w:w="3114" w:type="dxa"/>
            <w:vAlign w:val="center"/>
          </w:tcPr>
          <w:p w14:paraId="2615CD50" w14:textId="7A3290D5" w:rsidR="00CC61D9" w:rsidRPr="00CC61D9" w:rsidRDefault="00CC61D9" w:rsidP="00CC61D9">
            <w:pPr>
              <w:rPr>
                <w:rFonts w:ascii="Century Gothic" w:hAnsi="Century Gothic"/>
              </w:rPr>
            </w:pPr>
            <w:r w:rsidRPr="00CC61D9">
              <w:rPr>
                <w:rFonts w:ascii="Century Gothic" w:hAnsi="Century Gothic"/>
              </w:rPr>
              <w:t>De lo humano y lo comunitario</w:t>
            </w:r>
          </w:p>
        </w:tc>
        <w:tc>
          <w:tcPr>
            <w:tcW w:w="3051" w:type="dxa"/>
            <w:vAlign w:val="center"/>
          </w:tcPr>
          <w:p w14:paraId="309242C1" w14:textId="77777777" w:rsidR="00CC61D9" w:rsidRPr="00CC61D9" w:rsidRDefault="00CC61D9" w:rsidP="00CC61D9">
            <w:pPr>
              <w:rPr>
                <w:rFonts w:ascii="Century Gothic" w:hAnsi="Century Gothic"/>
              </w:rPr>
            </w:pPr>
            <w:r w:rsidRPr="00CC61D9">
              <w:rPr>
                <w:rFonts w:ascii="Century Gothic" w:hAnsi="Century Gothic"/>
              </w:rPr>
              <w:t>Inclusión</w:t>
            </w:r>
          </w:p>
          <w:p w14:paraId="39B63C24" w14:textId="77777777" w:rsidR="00CC61D9" w:rsidRPr="00CC61D9" w:rsidRDefault="00CC61D9" w:rsidP="00CC61D9">
            <w:pPr>
              <w:rPr>
                <w:rFonts w:ascii="Century Gothic" w:hAnsi="Century Gothic"/>
              </w:rPr>
            </w:pPr>
            <w:r w:rsidRPr="00CC61D9">
              <w:rPr>
                <w:rFonts w:ascii="Century Gothic" w:hAnsi="Century Gothic"/>
              </w:rPr>
              <w:t xml:space="preserve">Interculturalidad critica </w:t>
            </w:r>
          </w:p>
          <w:p w14:paraId="25A16B21" w14:textId="77777777" w:rsidR="00CC61D9" w:rsidRPr="00CC61D9" w:rsidRDefault="00CC61D9" w:rsidP="00CC61D9">
            <w:pPr>
              <w:rPr>
                <w:rFonts w:ascii="Century Gothic" w:hAnsi="Century Gothic"/>
              </w:rPr>
            </w:pPr>
            <w:r w:rsidRPr="00CC61D9">
              <w:rPr>
                <w:rFonts w:ascii="Century Gothic" w:hAnsi="Century Gothic"/>
              </w:rPr>
              <w:t>Igualdad de género</w:t>
            </w:r>
          </w:p>
          <w:p w14:paraId="2D724138" w14:textId="5543CE9E" w:rsidR="00CC61D9" w:rsidRPr="00CC61D9" w:rsidRDefault="00CC61D9" w:rsidP="00CC61D9">
            <w:pPr>
              <w:rPr>
                <w:rFonts w:ascii="Century Gothic" w:hAnsi="Century Gothic"/>
              </w:rPr>
            </w:pPr>
          </w:p>
        </w:tc>
        <w:tc>
          <w:tcPr>
            <w:tcW w:w="1439" w:type="dxa"/>
            <w:vAlign w:val="center"/>
          </w:tcPr>
          <w:p w14:paraId="6737FDE7" w14:textId="77777777" w:rsidR="00CC61D9" w:rsidRPr="00CC61D9" w:rsidRDefault="00CC61D9" w:rsidP="00CC61D9">
            <w:pPr>
              <w:rPr>
                <w:rFonts w:ascii="Century Gothic" w:hAnsi="Century Gothic"/>
              </w:rPr>
            </w:pPr>
            <w:r w:rsidRPr="00CC61D9">
              <w:rPr>
                <w:rFonts w:ascii="Century Gothic" w:hAnsi="Century Gothic"/>
              </w:rPr>
              <w:t>Comunitario.</w:t>
            </w:r>
          </w:p>
          <w:p w14:paraId="133CBBF1" w14:textId="6A146EFE" w:rsidR="00CC61D9" w:rsidRPr="00CC61D9" w:rsidRDefault="00CC61D9" w:rsidP="00CC61D9">
            <w:pPr>
              <w:rPr>
                <w:rFonts w:ascii="Century Gothic" w:hAnsi="Century Gothic"/>
              </w:rPr>
            </w:pPr>
            <w:r w:rsidRPr="00CC61D9">
              <w:rPr>
                <w:rFonts w:ascii="Century Gothic" w:hAnsi="Century Gothic"/>
              </w:rPr>
              <w:t>Páginas 196 a la 211</w:t>
            </w:r>
          </w:p>
        </w:tc>
        <w:tc>
          <w:tcPr>
            <w:tcW w:w="2940" w:type="dxa"/>
            <w:vAlign w:val="center"/>
          </w:tcPr>
          <w:p w14:paraId="1C02C1AD" w14:textId="17813C72" w:rsidR="00CC61D9" w:rsidRPr="00CC61D9" w:rsidRDefault="00CC61D9" w:rsidP="00CC61D9">
            <w:pPr>
              <w:rPr>
                <w:rFonts w:ascii="Century Gothic" w:hAnsi="Century Gothic"/>
              </w:rPr>
            </w:pPr>
            <w:r w:rsidRPr="00CC61D9">
              <w:rPr>
                <w:rFonts w:ascii="Century Gothic" w:hAnsi="Century Gothic"/>
              </w:rPr>
              <w:t>Conozco, cuido y aprecio mi comunidad.</w:t>
            </w:r>
          </w:p>
        </w:tc>
        <w:tc>
          <w:tcPr>
            <w:tcW w:w="3846" w:type="dxa"/>
            <w:vAlign w:val="center"/>
          </w:tcPr>
          <w:p w14:paraId="30CCDB5F" w14:textId="7E44566B" w:rsidR="00CC61D9" w:rsidRPr="00CC61D9" w:rsidRDefault="00CC61D9" w:rsidP="00CC61D9">
            <w:pPr>
              <w:rPr>
                <w:rFonts w:ascii="Century Gothic" w:hAnsi="Century Gothic"/>
              </w:rPr>
            </w:pPr>
            <w:r w:rsidRPr="00CC61D9">
              <w:rPr>
                <w:rFonts w:ascii="Century Gothic" w:hAnsi="Century Gothic"/>
              </w:rPr>
              <w:t>Organizar una campaña informativa para que los miembros de su comunidad identifiquen las características que comparten. Promover la práctica de los valores comunitarios para fortalecer el sentido de pertenencia, el respeto y el aprecio por la diversidad.</w:t>
            </w:r>
          </w:p>
        </w:tc>
      </w:tr>
      <w:tr w:rsidR="00CC61D9" w:rsidRPr="00AD1658" w14:paraId="11363062" w14:textId="77777777" w:rsidTr="00AD1658">
        <w:tc>
          <w:tcPr>
            <w:tcW w:w="3114" w:type="dxa"/>
            <w:vAlign w:val="center"/>
          </w:tcPr>
          <w:p w14:paraId="6A945832" w14:textId="4A56623E" w:rsidR="00CC61D9" w:rsidRPr="00CC61D9" w:rsidRDefault="00CC61D9" w:rsidP="00CC61D9">
            <w:pPr>
              <w:rPr>
                <w:rFonts w:ascii="Century Gothic" w:hAnsi="Century Gothic"/>
              </w:rPr>
            </w:pPr>
            <w:r w:rsidRPr="00CC61D9">
              <w:rPr>
                <w:rFonts w:ascii="Century Gothic" w:hAnsi="Century Gothic"/>
              </w:rPr>
              <w:t>Ética, naturaleza y sociedades</w:t>
            </w:r>
          </w:p>
        </w:tc>
        <w:tc>
          <w:tcPr>
            <w:tcW w:w="3051" w:type="dxa"/>
            <w:vAlign w:val="center"/>
          </w:tcPr>
          <w:p w14:paraId="2962352A" w14:textId="77777777" w:rsidR="00CC61D9" w:rsidRPr="00CC61D9" w:rsidRDefault="00CC61D9" w:rsidP="00CC61D9">
            <w:pPr>
              <w:rPr>
                <w:rFonts w:ascii="Century Gothic" w:hAnsi="Century Gothic"/>
              </w:rPr>
            </w:pPr>
            <w:r w:rsidRPr="00CC61D9">
              <w:rPr>
                <w:rFonts w:ascii="Century Gothic" w:hAnsi="Century Gothic"/>
              </w:rPr>
              <w:t>Pensamiento crítico</w:t>
            </w:r>
          </w:p>
          <w:p w14:paraId="38E1B5F5" w14:textId="77777777" w:rsidR="00CC61D9" w:rsidRPr="00CC61D9" w:rsidRDefault="00CC61D9" w:rsidP="00CC61D9">
            <w:pPr>
              <w:rPr>
                <w:rFonts w:ascii="Century Gothic" w:hAnsi="Century Gothic"/>
              </w:rPr>
            </w:pPr>
            <w:r w:rsidRPr="00CC61D9">
              <w:rPr>
                <w:rFonts w:ascii="Century Gothic" w:hAnsi="Century Gothic"/>
              </w:rPr>
              <w:t>Vida saludable</w:t>
            </w:r>
          </w:p>
          <w:p w14:paraId="58086788" w14:textId="34FA4B3E" w:rsidR="00CC61D9" w:rsidRPr="00CC61D9" w:rsidRDefault="00CC61D9" w:rsidP="00CC61D9">
            <w:pPr>
              <w:rPr>
                <w:rFonts w:ascii="Century Gothic" w:hAnsi="Century Gothic"/>
              </w:rPr>
            </w:pPr>
          </w:p>
        </w:tc>
        <w:tc>
          <w:tcPr>
            <w:tcW w:w="1439" w:type="dxa"/>
            <w:vAlign w:val="center"/>
          </w:tcPr>
          <w:p w14:paraId="1EB435EB" w14:textId="77777777" w:rsidR="00CC61D9" w:rsidRPr="00CC61D9" w:rsidRDefault="00CC61D9" w:rsidP="00CC61D9">
            <w:pPr>
              <w:rPr>
                <w:rFonts w:ascii="Century Gothic" w:hAnsi="Century Gothic"/>
              </w:rPr>
            </w:pPr>
            <w:r w:rsidRPr="00CC61D9">
              <w:rPr>
                <w:rFonts w:ascii="Century Gothic" w:hAnsi="Century Gothic"/>
              </w:rPr>
              <w:t>Escolar.</w:t>
            </w:r>
          </w:p>
          <w:p w14:paraId="55789F6D" w14:textId="02853358" w:rsidR="00CC61D9" w:rsidRPr="00CC61D9" w:rsidRDefault="00CC61D9" w:rsidP="00CC61D9">
            <w:pPr>
              <w:rPr>
                <w:rFonts w:ascii="Century Gothic" w:hAnsi="Century Gothic"/>
              </w:rPr>
            </w:pPr>
            <w:r w:rsidRPr="00CC61D9">
              <w:rPr>
                <w:rFonts w:ascii="Century Gothic" w:hAnsi="Century Gothic"/>
              </w:rPr>
              <w:t>Páginas 118 a la 127</w:t>
            </w:r>
          </w:p>
        </w:tc>
        <w:tc>
          <w:tcPr>
            <w:tcW w:w="2940" w:type="dxa"/>
            <w:vAlign w:val="center"/>
          </w:tcPr>
          <w:p w14:paraId="0F88FC55" w14:textId="01BD5D02" w:rsidR="00CC61D9" w:rsidRPr="00CC61D9" w:rsidRDefault="00CC61D9" w:rsidP="00CC61D9">
            <w:pPr>
              <w:rPr>
                <w:rFonts w:ascii="Century Gothic" w:hAnsi="Century Gothic"/>
              </w:rPr>
            </w:pPr>
            <w:r w:rsidRPr="00CC61D9">
              <w:rPr>
                <w:rFonts w:ascii="Century Gothic" w:hAnsi="Century Gothic"/>
              </w:rPr>
              <w:t>¡Rico y saludable!</w:t>
            </w:r>
          </w:p>
        </w:tc>
        <w:tc>
          <w:tcPr>
            <w:tcW w:w="3846" w:type="dxa"/>
            <w:vAlign w:val="center"/>
          </w:tcPr>
          <w:p w14:paraId="1544F34B" w14:textId="292B8C53" w:rsidR="00CC61D9" w:rsidRPr="00CC61D9" w:rsidRDefault="00CC61D9" w:rsidP="00CC61D9">
            <w:pPr>
              <w:rPr>
                <w:rFonts w:ascii="Century Gothic" w:hAnsi="Century Gothic"/>
              </w:rPr>
            </w:pPr>
            <w:r w:rsidRPr="00CC61D9">
              <w:rPr>
                <w:rFonts w:ascii="Century Gothic" w:hAnsi="Century Gothic"/>
              </w:rPr>
              <w:t>Conocer qué alimentos tienen más proteínas, en cuáles hay más grasas y cuáles tienen más carbohidratos. Elaborar un cartel y un Plato medidor para calcular las porciones que deben consumir de cada tipo de alimentos, para tener una alimentación variada y saludable.</w:t>
            </w:r>
          </w:p>
        </w:tc>
      </w:tr>
      <w:tr w:rsidR="00CC61D9" w:rsidRPr="00AD1658" w14:paraId="28903A2D" w14:textId="77777777" w:rsidTr="00AD1658">
        <w:tc>
          <w:tcPr>
            <w:tcW w:w="3114" w:type="dxa"/>
            <w:vAlign w:val="center"/>
          </w:tcPr>
          <w:p w14:paraId="66EAD28D" w14:textId="62C3C641" w:rsidR="00CC61D9" w:rsidRPr="00CC61D9" w:rsidRDefault="00CC61D9" w:rsidP="00CC61D9">
            <w:pPr>
              <w:rPr>
                <w:rFonts w:ascii="Century Gothic" w:hAnsi="Century Gothic"/>
              </w:rPr>
            </w:pPr>
            <w:r w:rsidRPr="00CC61D9">
              <w:rPr>
                <w:rFonts w:ascii="Century Gothic" w:hAnsi="Century Gothic"/>
              </w:rPr>
              <w:t>Lenguajes</w:t>
            </w:r>
          </w:p>
        </w:tc>
        <w:tc>
          <w:tcPr>
            <w:tcW w:w="3051" w:type="dxa"/>
            <w:vAlign w:val="center"/>
          </w:tcPr>
          <w:p w14:paraId="704DAF11" w14:textId="77777777" w:rsidR="00CC61D9" w:rsidRPr="00CC61D9" w:rsidRDefault="00CC61D9" w:rsidP="00CC61D9">
            <w:pPr>
              <w:rPr>
                <w:rFonts w:ascii="Century Gothic" w:hAnsi="Century Gothic"/>
              </w:rPr>
            </w:pPr>
            <w:r w:rsidRPr="00CC61D9">
              <w:rPr>
                <w:rFonts w:ascii="Century Gothic" w:hAnsi="Century Gothic"/>
              </w:rPr>
              <w:t xml:space="preserve">Interculturalidad critica </w:t>
            </w:r>
          </w:p>
          <w:p w14:paraId="54D24F02" w14:textId="77777777" w:rsidR="00CC61D9" w:rsidRPr="00CC61D9" w:rsidRDefault="00CC61D9" w:rsidP="00CC61D9">
            <w:pPr>
              <w:rPr>
                <w:rFonts w:ascii="Century Gothic" w:hAnsi="Century Gothic"/>
              </w:rPr>
            </w:pPr>
            <w:r w:rsidRPr="00CC61D9">
              <w:rPr>
                <w:rFonts w:ascii="Century Gothic" w:hAnsi="Century Gothic"/>
              </w:rPr>
              <w:t xml:space="preserve">Apropiación de las culturas a través de la lectura y la escritura </w:t>
            </w:r>
          </w:p>
          <w:p w14:paraId="328234D8" w14:textId="77777777" w:rsidR="00CC61D9" w:rsidRPr="00CC61D9" w:rsidRDefault="00CC61D9" w:rsidP="00CC61D9">
            <w:pPr>
              <w:rPr>
                <w:rFonts w:ascii="Century Gothic" w:hAnsi="Century Gothic"/>
              </w:rPr>
            </w:pPr>
            <w:r w:rsidRPr="00CC61D9">
              <w:rPr>
                <w:rFonts w:ascii="Century Gothic" w:hAnsi="Century Gothic"/>
              </w:rPr>
              <w:t xml:space="preserve">Artes y experiencias estéticas </w:t>
            </w:r>
          </w:p>
          <w:p w14:paraId="599C58D7" w14:textId="4386A27A" w:rsidR="00CC61D9" w:rsidRPr="00CC61D9" w:rsidRDefault="00CC61D9" w:rsidP="00CC61D9">
            <w:pPr>
              <w:rPr>
                <w:rFonts w:ascii="Century Gothic" w:hAnsi="Century Gothic"/>
              </w:rPr>
            </w:pPr>
          </w:p>
        </w:tc>
        <w:tc>
          <w:tcPr>
            <w:tcW w:w="1439" w:type="dxa"/>
            <w:vAlign w:val="center"/>
          </w:tcPr>
          <w:p w14:paraId="06B30A1F" w14:textId="77777777" w:rsidR="00CC61D9" w:rsidRPr="00CC61D9" w:rsidRDefault="00CC61D9" w:rsidP="00CC61D9">
            <w:pPr>
              <w:rPr>
                <w:rFonts w:ascii="Century Gothic" w:hAnsi="Century Gothic"/>
              </w:rPr>
            </w:pPr>
            <w:r w:rsidRPr="00CC61D9">
              <w:rPr>
                <w:rFonts w:ascii="Century Gothic" w:hAnsi="Century Gothic"/>
              </w:rPr>
              <w:t>Aula.</w:t>
            </w:r>
          </w:p>
          <w:p w14:paraId="5E092657" w14:textId="1D98030F" w:rsidR="00CC61D9" w:rsidRPr="00CC61D9" w:rsidRDefault="00CC61D9" w:rsidP="00CC61D9">
            <w:pPr>
              <w:rPr>
                <w:rFonts w:ascii="Century Gothic" w:hAnsi="Century Gothic"/>
              </w:rPr>
            </w:pPr>
            <w:r w:rsidRPr="00CC61D9">
              <w:rPr>
                <w:rFonts w:ascii="Century Gothic" w:hAnsi="Century Gothic"/>
              </w:rPr>
              <w:t>Páginas 48 a la 57</w:t>
            </w:r>
          </w:p>
        </w:tc>
        <w:tc>
          <w:tcPr>
            <w:tcW w:w="2940" w:type="dxa"/>
            <w:vAlign w:val="center"/>
          </w:tcPr>
          <w:p w14:paraId="2010C993" w14:textId="45D60801" w:rsidR="00CC61D9" w:rsidRPr="00CC61D9" w:rsidRDefault="00CC61D9" w:rsidP="00CC61D9">
            <w:pPr>
              <w:rPr>
                <w:rFonts w:ascii="Century Gothic" w:hAnsi="Century Gothic"/>
              </w:rPr>
            </w:pPr>
            <w:r w:rsidRPr="00CC61D9">
              <w:rPr>
                <w:rFonts w:ascii="Century Gothic" w:hAnsi="Century Gothic"/>
              </w:rPr>
              <w:t>¡Creemos textos en colectivo!</w:t>
            </w:r>
          </w:p>
        </w:tc>
        <w:tc>
          <w:tcPr>
            <w:tcW w:w="3846" w:type="dxa"/>
            <w:vAlign w:val="center"/>
          </w:tcPr>
          <w:p w14:paraId="3F11CA71" w14:textId="5AD0DE21" w:rsidR="00CC61D9" w:rsidRPr="00CC61D9" w:rsidRDefault="00CC61D9" w:rsidP="00CC61D9">
            <w:pPr>
              <w:rPr>
                <w:rFonts w:ascii="Century Gothic" w:hAnsi="Century Gothic"/>
              </w:rPr>
            </w:pPr>
            <w:r w:rsidRPr="00CC61D9">
              <w:rPr>
                <w:rFonts w:ascii="Century Gothic" w:hAnsi="Century Gothic"/>
              </w:rPr>
              <w:t>Elaborar un cadáver exquisito con la intención de expresar sus emociones, dialogarlas con los otros y potenciar tu creatividad.</w:t>
            </w:r>
          </w:p>
        </w:tc>
      </w:tr>
    </w:tbl>
    <w:p w14:paraId="099E919D" w14:textId="77777777" w:rsidR="002F59BC" w:rsidRDefault="002F59BC"/>
    <w:sectPr w:rsidR="002F59BC" w:rsidSect="00B51E4C">
      <w:headerReference w:type="default" r:id="rId7"/>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79DC3" w14:textId="77777777" w:rsidR="002B7D30" w:rsidRDefault="002B7D30" w:rsidP="002E3E2E">
      <w:pPr>
        <w:spacing w:after="0" w:line="240" w:lineRule="auto"/>
      </w:pPr>
      <w:r>
        <w:separator/>
      </w:r>
    </w:p>
  </w:endnote>
  <w:endnote w:type="continuationSeparator" w:id="0">
    <w:p w14:paraId="73BFE473" w14:textId="77777777" w:rsidR="002B7D30" w:rsidRDefault="002B7D30" w:rsidP="002E3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E6AAB" w14:textId="77777777" w:rsidR="002B7D30" w:rsidRDefault="002B7D30" w:rsidP="002E3E2E">
      <w:pPr>
        <w:spacing w:after="0" w:line="240" w:lineRule="auto"/>
      </w:pPr>
      <w:r>
        <w:separator/>
      </w:r>
    </w:p>
  </w:footnote>
  <w:footnote w:type="continuationSeparator" w:id="0">
    <w:p w14:paraId="5A83A324" w14:textId="77777777" w:rsidR="002B7D30" w:rsidRDefault="002B7D30" w:rsidP="002E3E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47E0A" w14:textId="4A86B57F" w:rsidR="002E3E2E" w:rsidRPr="002E3E2E" w:rsidRDefault="002E3E2E" w:rsidP="002E3E2E">
    <w:pPr>
      <w:pStyle w:val="Encabezado"/>
      <w:jc w:val="right"/>
      <w:rPr>
        <w:rFonts w:ascii="Century Gothic" w:hAnsi="Century Gothic"/>
      </w:rPr>
    </w:pPr>
    <w:r w:rsidRPr="00343C66">
      <w:rPr>
        <w:rFonts w:ascii="Century Gothic" w:hAnsi="Century Gothic"/>
        <w:noProof/>
      </w:rPr>
      <w:drawing>
        <wp:anchor distT="0" distB="0" distL="114300" distR="114300" simplePos="0" relativeHeight="251659264" behindDoc="1" locked="0" layoutInCell="1" allowOverlap="1" wp14:anchorId="247830AD" wp14:editId="31F02814">
          <wp:simplePos x="0" y="0"/>
          <wp:positionH relativeFrom="margin">
            <wp:posOffset>28575</wp:posOffset>
          </wp:positionH>
          <wp:positionV relativeFrom="paragraph">
            <wp:posOffset>-163830</wp:posOffset>
          </wp:positionV>
          <wp:extent cx="6090285" cy="408305"/>
          <wp:effectExtent l="0" t="0" r="5715" b="0"/>
          <wp:wrapTight wrapText="bothSides">
            <wp:wrapPolygon edited="0">
              <wp:start x="0" y="0"/>
              <wp:lineTo x="0" y="20156"/>
              <wp:lineTo x="21553" y="20156"/>
              <wp:lineTo x="21553" y="0"/>
              <wp:lineTo x="0" y="0"/>
            </wp:wrapPolygon>
          </wp:wrapTight>
          <wp:docPr id="7169837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0285" cy="408305"/>
                  </a:xfrm>
                  <a:prstGeom prst="rect">
                    <a:avLst/>
                  </a:prstGeom>
                  <a:noFill/>
                </pic:spPr>
              </pic:pic>
            </a:graphicData>
          </a:graphic>
          <wp14:sizeRelH relativeFrom="page">
            <wp14:pctWidth>0</wp14:pctWidth>
          </wp14:sizeRelH>
          <wp14:sizeRelV relativeFrom="page">
            <wp14:pctHeight>0</wp14:pctHeight>
          </wp14:sizeRelV>
        </wp:anchor>
      </w:drawing>
    </w:r>
    <w:r w:rsidRPr="00343C66">
      <w:rPr>
        <w:rFonts w:ascii="Century Gothic" w:hAnsi="Century Gothic"/>
        <w:sz w:val="28"/>
        <w:szCs w:val="28"/>
      </w:rPr>
      <w:t>https://DidacticosMx.com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4C"/>
    <w:rsid w:val="002B7D30"/>
    <w:rsid w:val="002E3E2E"/>
    <w:rsid w:val="002F59BC"/>
    <w:rsid w:val="00316351"/>
    <w:rsid w:val="004104AA"/>
    <w:rsid w:val="008408BE"/>
    <w:rsid w:val="009A5BC5"/>
    <w:rsid w:val="00AD1658"/>
    <w:rsid w:val="00B474F4"/>
    <w:rsid w:val="00B51E4C"/>
    <w:rsid w:val="00BC7086"/>
    <w:rsid w:val="00CB06F3"/>
    <w:rsid w:val="00CC61D9"/>
    <w:rsid w:val="00F36A7E"/>
    <w:rsid w:val="00FD70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1243E"/>
  <w15:chartTrackingRefBased/>
  <w15:docId w15:val="{9786A685-4F40-4154-B0E4-23DFDB57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51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E3E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3E2E"/>
  </w:style>
  <w:style w:type="paragraph" w:styleId="Piedepgina">
    <w:name w:val="footer"/>
    <w:basedOn w:val="Normal"/>
    <w:link w:val="PiedepginaCar"/>
    <w:uiPriority w:val="99"/>
    <w:unhideWhenUsed/>
    <w:rsid w:val="002E3E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3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38712">
      <w:bodyDiv w:val="1"/>
      <w:marLeft w:val="0"/>
      <w:marRight w:val="0"/>
      <w:marTop w:val="0"/>
      <w:marBottom w:val="0"/>
      <w:divBdr>
        <w:top w:val="none" w:sz="0" w:space="0" w:color="auto"/>
        <w:left w:val="none" w:sz="0" w:space="0" w:color="auto"/>
        <w:bottom w:val="none" w:sz="0" w:space="0" w:color="auto"/>
        <w:right w:val="none" w:sz="0" w:space="0" w:color="auto"/>
      </w:divBdr>
    </w:div>
    <w:div w:id="708189797">
      <w:bodyDiv w:val="1"/>
      <w:marLeft w:val="0"/>
      <w:marRight w:val="0"/>
      <w:marTop w:val="0"/>
      <w:marBottom w:val="0"/>
      <w:divBdr>
        <w:top w:val="none" w:sz="0" w:space="0" w:color="auto"/>
        <w:left w:val="none" w:sz="0" w:space="0" w:color="auto"/>
        <w:bottom w:val="none" w:sz="0" w:space="0" w:color="auto"/>
        <w:right w:val="none" w:sz="0" w:space="0" w:color="auto"/>
      </w:divBdr>
    </w:div>
    <w:div w:id="742878363">
      <w:bodyDiv w:val="1"/>
      <w:marLeft w:val="0"/>
      <w:marRight w:val="0"/>
      <w:marTop w:val="0"/>
      <w:marBottom w:val="0"/>
      <w:divBdr>
        <w:top w:val="none" w:sz="0" w:space="0" w:color="auto"/>
        <w:left w:val="none" w:sz="0" w:space="0" w:color="auto"/>
        <w:bottom w:val="none" w:sz="0" w:space="0" w:color="auto"/>
        <w:right w:val="none" w:sz="0" w:space="0" w:color="auto"/>
      </w:divBdr>
    </w:div>
    <w:div w:id="965500546">
      <w:bodyDiv w:val="1"/>
      <w:marLeft w:val="0"/>
      <w:marRight w:val="0"/>
      <w:marTop w:val="0"/>
      <w:marBottom w:val="0"/>
      <w:divBdr>
        <w:top w:val="none" w:sz="0" w:space="0" w:color="auto"/>
        <w:left w:val="none" w:sz="0" w:space="0" w:color="auto"/>
        <w:bottom w:val="none" w:sz="0" w:space="0" w:color="auto"/>
        <w:right w:val="none" w:sz="0" w:space="0" w:color="auto"/>
      </w:divBdr>
    </w:div>
    <w:div w:id="1619725906">
      <w:bodyDiv w:val="1"/>
      <w:marLeft w:val="0"/>
      <w:marRight w:val="0"/>
      <w:marTop w:val="0"/>
      <w:marBottom w:val="0"/>
      <w:divBdr>
        <w:top w:val="none" w:sz="0" w:space="0" w:color="auto"/>
        <w:left w:val="none" w:sz="0" w:space="0" w:color="auto"/>
        <w:bottom w:val="none" w:sz="0" w:space="0" w:color="auto"/>
        <w:right w:val="none" w:sz="0" w:space="0" w:color="auto"/>
      </w:divBdr>
    </w:div>
    <w:div w:id="1830174954">
      <w:bodyDiv w:val="1"/>
      <w:marLeft w:val="0"/>
      <w:marRight w:val="0"/>
      <w:marTop w:val="0"/>
      <w:marBottom w:val="0"/>
      <w:divBdr>
        <w:top w:val="none" w:sz="0" w:space="0" w:color="auto"/>
        <w:left w:val="none" w:sz="0" w:space="0" w:color="auto"/>
        <w:bottom w:val="none" w:sz="0" w:space="0" w:color="auto"/>
        <w:right w:val="none" w:sz="0" w:space="0" w:color="auto"/>
      </w:divBdr>
    </w:div>
    <w:div w:id="1893081689">
      <w:bodyDiv w:val="1"/>
      <w:marLeft w:val="0"/>
      <w:marRight w:val="0"/>
      <w:marTop w:val="0"/>
      <w:marBottom w:val="0"/>
      <w:divBdr>
        <w:top w:val="none" w:sz="0" w:space="0" w:color="auto"/>
        <w:left w:val="none" w:sz="0" w:space="0" w:color="auto"/>
        <w:bottom w:val="none" w:sz="0" w:space="0" w:color="auto"/>
        <w:right w:val="none" w:sz="0" w:space="0" w:color="auto"/>
      </w:divBdr>
    </w:div>
    <w:div w:id="193478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7D1FC-7F57-447F-A67E-41DBD280E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188</Words>
  <Characters>1038</Characters>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Manager>www.DidacticosMx.com</Manager>
  <Company>www.DidacticosMx.com</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www.DidacticosMx.com</dc:title>
  <dc:subject>www.DidacticosMx.com</dc:subject>
  <dc:creator>www.DidacticosMx.com</dc:creator>
  <cp:keywords>www.DidacticosMx.com</cp:keywords>
  <dc:description>www.DidacticosMx.com</dc:description>
  <dcterms:created xsi:type="dcterms:W3CDTF">2023-08-21T19:57:00Z</dcterms:created>
  <dcterms:modified xsi:type="dcterms:W3CDTF">2025-04-25T02:36:00Z</dcterms:modified>
  <cp:category>www.DidacticosMx.com</cp:category>
</cp:coreProperties>
</file>